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306F" w14:textId="21486EBE" w:rsidR="005A6DB9" w:rsidRPr="002910F7" w:rsidRDefault="005A6DB9" w:rsidP="005A6DB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26D91">
        <w:rPr>
          <w:rFonts w:ascii="Arial" w:hAnsi="Arial" w:cs="Arial"/>
          <w:b/>
          <w:bCs/>
          <w:sz w:val="20"/>
          <w:szCs w:val="20"/>
        </w:rPr>
        <w:t xml:space="preserve">RBX </w:t>
      </w:r>
      <w:r w:rsidRPr="00B914F6">
        <w:rPr>
          <w:rFonts w:ascii="Arial" w:hAnsi="Arial" w:cs="Arial"/>
          <w:b/>
          <w:bCs/>
          <w:sz w:val="20"/>
          <w:szCs w:val="20"/>
        </w:rPr>
        <w:t xml:space="preserve">Abstract for </w:t>
      </w:r>
      <w:hyperlink r:id="rId8" w:history="1">
        <w:r w:rsidRPr="002910F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IDWeek 2020 – DUE JUNE 18, 2020 4p CDT</w:t>
        </w:r>
      </w:hyperlink>
      <w:r w:rsidRPr="002910F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="002910F7" w:rsidRPr="002910F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- 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  <w:u w:val="none"/>
        </w:rPr>
        <w:t xml:space="preserve">1950 characters (spaces not included) and 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</w:rPr>
        <w:t>&lt;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  <w:u w:val="none"/>
        </w:rPr>
        <w:t>4 figures</w:t>
      </w:r>
    </w:p>
    <w:p w14:paraId="2170C175" w14:textId="77777777" w:rsidR="005A6DB9" w:rsidRPr="00A26D91" w:rsidRDefault="005A6DB9" w:rsidP="005A6D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B1AED6" w14:textId="77777777" w:rsidR="00725C50" w:rsidRPr="00725C50" w:rsidRDefault="00725C50" w:rsidP="00725C50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</w:p>
    <w:p w14:paraId="1ED07CD8" w14:textId="30AE4DC2" w:rsidR="006274A4" w:rsidRPr="002A2327" w:rsidRDefault="00EC2EE5" w:rsidP="009C59F8">
      <w:pPr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Antimicrobial Resistance Genes Are Reduced Following Administration of Investigational Microbiota-Based Therapeutic RBX7455 to Individuals with Recurrent </w:t>
      </w:r>
      <w:r w:rsidRPr="00EC2EE5">
        <w:rPr>
          <w:rFonts w:ascii="Arial" w:hAnsi="Arial" w:cs="Arial"/>
          <w:b/>
          <w:bCs/>
          <w:i/>
          <w:iCs/>
          <w:sz w:val="20"/>
          <w:szCs w:val="20"/>
        </w:rPr>
        <w:t>Clostrioides difficile</w:t>
      </w:r>
      <w:r>
        <w:rPr>
          <w:rFonts w:ascii="Arial" w:hAnsi="Arial" w:cs="Arial"/>
          <w:b/>
          <w:bCs/>
          <w:sz w:val="20"/>
          <w:szCs w:val="20"/>
        </w:rPr>
        <w:t xml:space="preserve"> Infection</w:t>
      </w:r>
    </w:p>
    <w:p w14:paraId="0ECA9924" w14:textId="445D1A25" w:rsidR="00725C50" w:rsidRPr="004D23B5" w:rsidRDefault="00725C50" w:rsidP="00725C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Dana Walsh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PhD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B8571C">
        <w:rPr>
          <w:rFonts w:ascii="Arial" w:hAnsi="Arial" w:cs="Arial"/>
          <w:color w:val="000000" w:themeColor="text1"/>
          <w:sz w:val="20"/>
          <w:szCs w:val="20"/>
        </w:rPr>
        <w:t>, Carlos Gonzalez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MS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B8571C">
        <w:rPr>
          <w:rFonts w:ascii="Arial" w:hAnsi="Arial" w:cs="Arial"/>
          <w:color w:val="000000" w:themeColor="text1"/>
          <w:sz w:val="20"/>
          <w:szCs w:val="20"/>
        </w:rPr>
        <w:t>, Bill Shannon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PhD MBA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B8571C">
        <w:rPr>
          <w:rFonts w:ascii="Arial" w:hAnsi="Arial" w:cs="Arial"/>
          <w:color w:val="000000" w:themeColor="text1"/>
          <w:sz w:val="20"/>
          <w:szCs w:val="20"/>
        </w:rPr>
        <w:t>,</w:t>
      </w:r>
      <w:r w:rsidR="00C133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571C">
        <w:rPr>
          <w:rFonts w:ascii="Arial" w:hAnsi="Arial" w:cs="Arial"/>
          <w:bCs/>
          <w:color w:val="000000" w:themeColor="text1"/>
          <w:sz w:val="20"/>
          <w:szCs w:val="20"/>
        </w:rPr>
        <w:t>Ken Blount</w:t>
      </w:r>
      <w:r w:rsidR="00DF05F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</w:t>
      </w:r>
    </w:p>
    <w:p w14:paraId="0D61ADC8" w14:textId="4A83DECA" w:rsidR="00725C50" w:rsidRPr="00B8571C" w:rsidRDefault="00DF05F9" w:rsidP="00725C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1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>Rebiotix Inc, Roseville, MN</w:t>
      </w:r>
      <w:r w:rsidR="00E42CA8"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; </w:t>
      </w:r>
      <w:r w:rsidRPr="00DF05F9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2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>BioRankings, St. Louis, MO</w:t>
      </w:r>
      <w:r w:rsidR="00E42CA8"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</w:p>
    <w:p w14:paraId="775491DE" w14:textId="61007C71" w:rsidR="00E42CA8" w:rsidRDefault="00E42CA8">
      <w:pPr>
        <w:rPr>
          <w:rFonts w:ascii="Arial" w:hAnsi="Arial" w:cs="Arial"/>
          <w:b/>
          <w:bCs/>
          <w:sz w:val="20"/>
          <w:szCs w:val="20"/>
        </w:rPr>
      </w:pPr>
    </w:p>
    <w:p w14:paraId="65C01911" w14:textId="22E7A31C" w:rsidR="00E44C14" w:rsidRPr="00D174AB" w:rsidRDefault="0045204A" w:rsidP="00C96DF1">
      <w:pPr>
        <w:pStyle w:val="CommentText"/>
        <w:rPr>
          <w:rFonts w:ascii="Arial" w:hAnsi="Arial" w:cs="Arial"/>
        </w:rPr>
      </w:pPr>
      <w:r w:rsidRPr="00D174AB">
        <w:rPr>
          <w:rFonts w:ascii="Arial" w:hAnsi="Arial" w:cs="Arial"/>
          <w:b/>
          <w:bCs/>
        </w:rPr>
        <w:t>BACKGROUND</w:t>
      </w:r>
      <w:r w:rsidRPr="00D174AB">
        <w:rPr>
          <w:rFonts w:ascii="Arial" w:hAnsi="Arial" w:cs="Arial"/>
          <w:b/>
          <w:bCs/>
        </w:rPr>
        <w:br/>
      </w:r>
      <w:r w:rsidR="00DF05F9" w:rsidRPr="00D174AB">
        <w:rPr>
          <w:rFonts w:ascii="Arial" w:hAnsi="Arial" w:cs="Arial"/>
        </w:rPr>
        <w:t>Antimicrobial resistance (AMR) is a challenge in individuals at risk for</w:t>
      </w:r>
      <w:r w:rsidR="000A21EA">
        <w:rPr>
          <w:rFonts w:ascii="Arial" w:hAnsi="Arial" w:cs="Arial"/>
        </w:rPr>
        <w:t xml:space="preserve"> recurrent</w:t>
      </w:r>
      <w:r w:rsidR="00DF05F9" w:rsidRPr="00D174AB">
        <w:rPr>
          <w:rFonts w:ascii="Arial" w:hAnsi="Arial" w:cs="Arial"/>
        </w:rPr>
        <w:t xml:space="preserve"> </w:t>
      </w:r>
      <w:r w:rsidR="00DF05F9" w:rsidRPr="00D174AB">
        <w:rPr>
          <w:rFonts w:ascii="Arial" w:hAnsi="Arial" w:cs="Arial"/>
          <w:i/>
          <w:iCs/>
        </w:rPr>
        <w:t>Clostrioides difficile</w:t>
      </w:r>
      <w:r w:rsidR="00DF05F9" w:rsidRPr="00D174AB">
        <w:rPr>
          <w:rFonts w:ascii="Arial" w:hAnsi="Arial" w:cs="Arial"/>
        </w:rPr>
        <w:t xml:space="preserve"> infection (rCDI). Recognizing that AMR bacteria </w:t>
      </w:r>
      <w:r w:rsidR="00391A48">
        <w:rPr>
          <w:rFonts w:ascii="Arial" w:hAnsi="Arial" w:cs="Arial"/>
        </w:rPr>
        <w:t>colonize</w:t>
      </w:r>
      <w:r w:rsidR="00DF05F9" w:rsidRPr="00D174AB">
        <w:rPr>
          <w:rFonts w:ascii="Arial" w:hAnsi="Arial" w:cs="Arial"/>
        </w:rPr>
        <w:t xml:space="preserve"> the intestinal microbiota, therapeutic approaches that decolonize the gut of AMR bacteria would be valuable. Herein, we assessed the </w:t>
      </w:r>
      <w:r w:rsidR="00C00B76" w:rsidRPr="00D174AB">
        <w:rPr>
          <w:rFonts w:ascii="Arial" w:hAnsi="Arial" w:cs="Arial"/>
        </w:rPr>
        <w:t xml:space="preserve">microbial resistome </w:t>
      </w:r>
      <w:r w:rsidR="00DF05F9" w:rsidRPr="00D174AB">
        <w:rPr>
          <w:rFonts w:ascii="Arial" w:hAnsi="Arial" w:cs="Arial"/>
        </w:rPr>
        <w:t xml:space="preserve">before and after treatment </w:t>
      </w:r>
      <w:r w:rsidR="00391A48">
        <w:rPr>
          <w:rFonts w:ascii="Arial" w:hAnsi="Arial" w:cs="Arial"/>
        </w:rPr>
        <w:t>with</w:t>
      </w:r>
      <w:r w:rsidR="00391A48" w:rsidRPr="00D174AB">
        <w:rPr>
          <w:rFonts w:ascii="Arial" w:hAnsi="Arial" w:cs="Arial"/>
        </w:rPr>
        <w:t xml:space="preserve"> </w:t>
      </w:r>
      <w:r w:rsidR="00C00B76" w:rsidRPr="00D174AB">
        <w:rPr>
          <w:rFonts w:ascii="Arial" w:eastAsia="Times New Roman" w:hAnsi="Arial" w:cs="Arial"/>
          <w:lang w:bidi="ar-SA"/>
        </w:rPr>
        <w:t>RBX7455</w:t>
      </w:r>
      <w:r w:rsidR="00391A48">
        <w:rPr>
          <w:rFonts w:ascii="Arial" w:eastAsia="Times New Roman" w:hAnsi="Arial" w:cs="Arial"/>
          <w:lang w:bidi="ar-SA"/>
        </w:rPr>
        <w:t>—</w:t>
      </w:r>
      <w:r w:rsidR="00C00B76" w:rsidRPr="00D174AB">
        <w:rPr>
          <w:rFonts w:ascii="Arial" w:eastAsia="Times New Roman" w:hAnsi="Arial" w:cs="Arial"/>
          <w:lang w:bidi="ar-SA"/>
        </w:rPr>
        <w:t>a</w:t>
      </w:r>
      <w:r w:rsidR="00391A48">
        <w:rPr>
          <w:rFonts w:ascii="Arial" w:eastAsia="Times New Roman" w:hAnsi="Arial" w:cs="Arial"/>
          <w:lang w:bidi="ar-SA"/>
        </w:rPr>
        <w:t xml:space="preserve"> room temperature-stable</w:t>
      </w:r>
      <w:r w:rsidR="00C00B76" w:rsidRPr="00D174AB">
        <w:rPr>
          <w:rFonts w:ascii="Arial" w:eastAsia="Times New Roman" w:hAnsi="Arial" w:cs="Arial"/>
          <w:lang w:bidi="ar-SA"/>
        </w:rPr>
        <w:t>, orally-administered</w:t>
      </w:r>
      <w:r w:rsidR="00391A48">
        <w:rPr>
          <w:rFonts w:ascii="Arial" w:eastAsia="Times New Roman" w:hAnsi="Arial" w:cs="Arial"/>
          <w:lang w:bidi="ar-SA"/>
        </w:rPr>
        <w:t xml:space="preserve"> investigational microbiota-based therapeutic—</w:t>
      </w:r>
      <w:r w:rsidR="00C00B76" w:rsidRPr="00D174AB">
        <w:rPr>
          <w:rFonts w:ascii="Arial" w:eastAsia="Times New Roman" w:hAnsi="Arial" w:cs="Arial"/>
          <w:lang w:bidi="ar-SA"/>
        </w:rPr>
        <w:t>in</w:t>
      </w:r>
      <w:r w:rsidR="00391A48">
        <w:rPr>
          <w:rFonts w:ascii="Arial" w:eastAsia="Times New Roman" w:hAnsi="Arial" w:cs="Arial"/>
          <w:lang w:bidi="ar-SA"/>
        </w:rPr>
        <w:t xml:space="preserve"> </w:t>
      </w:r>
      <w:r w:rsidR="00C96DF1" w:rsidRPr="00D174AB">
        <w:rPr>
          <w:rFonts w:ascii="Arial" w:eastAsia="Times New Roman" w:hAnsi="Arial" w:cs="Arial"/>
          <w:lang w:bidi="ar-SA"/>
        </w:rPr>
        <w:t xml:space="preserve">a </w:t>
      </w:r>
      <w:r w:rsidR="00C00B76" w:rsidRPr="00D174AB">
        <w:rPr>
          <w:rFonts w:ascii="Arial" w:eastAsia="Times New Roman" w:hAnsi="Arial" w:cs="Arial"/>
          <w:lang w:bidi="ar-SA"/>
        </w:rPr>
        <w:t xml:space="preserve">Phase 1 </w:t>
      </w:r>
      <w:r w:rsidR="000F06CA">
        <w:rPr>
          <w:rFonts w:ascii="Arial" w:eastAsia="Times New Roman" w:hAnsi="Arial" w:cs="Arial"/>
          <w:lang w:bidi="ar-SA"/>
        </w:rPr>
        <w:t xml:space="preserve">trial </w:t>
      </w:r>
      <w:r w:rsidR="00D174AB" w:rsidRPr="00D174AB">
        <w:rPr>
          <w:rFonts w:ascii="Arial" w:eastAsia="Times New Roman" w:hAnsi="Arial" w:cs="Arial"/>
          <w:lang w:bidi="ar-SA"/>
        </w:rPr>
        <w:t xml:space="preserve">for </w:t>
      </w:r>
      <w:r w:rsidR="00521CB2">
        <w:rPr>
          <w:rFonts w:ascii="Arial" w:eastAsia="Times New Roman" w:hAnsi="Arial" w:cs="Arial"/>
          <w:lang w:bidi="ar-SA"/>
        </w:rPr>
        <w:t xml:space="preserve">reducing CDI recurrence. </w:t>
      </w:r>
      <w:r w:rsidRPr="00D174AB">
        <w:rPr>
          <w:rFonts w:ascii="Arial" w:hAnsi="Arial" w:cs="Arial"/>
        </w:rPr>
        <w:br/>
      </w:r>
      <w:r w:rsidRPr="00D174AB">
        <w:rPr>
          <w:rFonts w:ascii="Arial" w:hAnsi="Arial" w:cs="Arial"/>
        </w:rPr>
        <w:br/>
      </w:r>
      <w:r w:rsidRPr="00D174AB">
        <w:rPr>
          <w:rFonts w:ascii="Arial" w:hAnsi="Arial" w:cs="Arial"/>
          <w:b/>
          <w:bCs/>
        </w:rPr>
        <w:t>METHODS</w:t>
      </w:r>
      <w:r w:rsidRPr="00D174AB">
        <w:rPr>
          <w:rFonts w:ascii="Arial" w:hAnsi="Arial" w:cs="Arial"/>
          <w:b/>
          <w:bCs/>
        </w:rPr>
        <w:br/>
      </w:r>
      <w:r w:rsidR="000A21EA">
        <w:rPr>
          <w:rFonts w:ascii="Arial" w:hAnsi="Arial" w:cs="Arial"/>
          <w:bCs/>
          <w:color w:val="000000" w:themeColor="text1"/>
        </w:rPr>
        <w:t xml:space="preserve">This investigator-sponsored trial enrolled </w:t>
      </w:r>
      <w:r w:rsidR="000949B9">
        <w:rPr>
          <w:rFonts w:ascii="Arial" w:hAnsi="Arial" w:cs="Arial"/>
          <w:bCs/>
          <w:color w:val="000000" w:themeColor="text1"/>
        </w:rPr>
        <w:t xml:space="preserve">30 rCDI patients in 3 </w:t>
      </w:r>
      <w:r w:rsidR="000A21EA">
        <w:rPr>
          <w:rFonts w:ascii="Arial" w:hAnsi="Arial" w:cs="Arial"/>
          <w:color w:val="000000" w:themeColor="text1"/>
        </w:rPr>
        <w:t xml:space="preserve">open-label </w:t>
      </w:r>
      <w:r w:rsidR="000949B9">
        <w:rPr>
          <w:rFonts w:ascii="Arial" w:hAnsi="Arial" w:cs="Arial"/>
          <w:color w:val="000000" w:themeColor="text1"/>
        </w:rPr>
        <w:t xml:space="preserve">treatment </w:t>
      </w:r>
      <w:r w:rsidR="000A21EA">
        <w:rPr>
          <w:rFonts w:ascii="Arial" w:hAnsi="Arial" w:cs="Arial"/>
          <w:color w:val="000000" w:themeColor="text1"/>
        </w:rPr>
        <w:t>groups (n=10 per group)</w:t>
      </w:r>
      <w:r w:rsidR="00CE7EE4" w:rsidRPr="00D174AB">
        <w:rPr>
          <w:rFonts w:ascii="Arial" w:hAnsi="Arial" w:cs="Arial"/>
          <w:color w:val="000000" w:themeColor="text1"/>
        </w:rPr>
        <w:t xml:space="preserve">: 1) Four RBX7455 capsules </w:t>
      </w:r>
      <w:r w:rsidR="00521CB2">
        <w:rPr>
          <w:rFonts w:ascii="Arial" w:hAnsi="Arial" w:cs="Arial"/>
          <w:color w:val="000000" w:themeColor="text1"/>
        </w:rPr>
        <w:t>BID</w:t>
      </w:r>
      <w:r w:rsidR="00CE7EE4" w:rsidRPr="00D174AB">
        <w:rPr>
          <w:rFonts w:ascii="Arial" w:hAnsi="Arial" w:cs="Arial"/>
          <w:color w:val="000000" w:themeColor="text1"/>
        </w:rPr>
        <w:t xml:space="preserve"> for 4 days, 2) Four RBX7455 capsules </w:t>
      </w:r>
      <w:r w:rsidR="000949B9">
        <w:rPr>
          <w:rFonts w:ascii="Arial" w:hAnsi="Arial" w:cs="Arial"/>
          <w:color w:val="000000" w:themeColor="text1"/>
        </w:rPr>
        <w:t>BID</w:t>
      </w:r>
      <w:r w:rsidR="00CE7EE4" w:rsidRPr="00D174AB">
        <w:rPr>
          <w:rFonts w:ascii="Arial" w:hAnsi="Arial" w:cs="Arial"/>
          <w:color w:val="000000" w:themeColor="text1"/>
        </w:rPr>
        <w:t xml:space="preserve"> for 2 days, 3) </w:t>
      </w:r>
      <w:r w:rsidR="00C96DF1" w:rsidRPr="00D174AB">
        <w:rPr>
          <w:rFonts w:ascii="Arial" w:hAnsi="Arial" w:cs="Arial"/>
          <w:color w:val="000000" w:themeColor="text1"/>
        </w:rPr>
        <w:t xml:space="preserve">Two </w:t>
      </w:r>
      <w:r w:rsidR="00CE7EE4" w:rsidRPr="00D174AB">
        <w:rPr>
          <w:rFonts w:ascii="Arial" w:hAnsi="Arial" w:cs="Arial"/>
          <w:color w:val="000000" w:themeColor="text1"/>
        </w:rPr>
        <w:t xml:space="preserve">RBX7455 capsules </w:t>
      </w:r>
      <w:r w:rsidR="000949B9">
        <w:rPr>
          <w:rFonts w:ascii="Arial" w:hAnsi="Arial" w:cs="Arial"/>
          <w:color w:val="000000" w:themeColor="text1"/>
        </w:rPr>
        <w:t>BID</w:t>
      </w:r>
      <w:r w:rsidR="00CE7EE4" w:rsidRPr="00D174AB">
        <w:rPr>
          <w:rFonts w:ascii="Arial" w:hAnsi="Arial" w:cs="Arial"/>
          <w:color w:val="000000" w:themeColor="text1"/>
        </w:rPr>
        <w:t xml:space="preserve"> for 2 days.</w:t>
      </w:r>
      <w:r w:rsidR="00C96DF1" w:rsidRPr="00D174AB">
        <w:rPr>
          <w:rFonts w:ascii="Arial" w:hAnsi="Arial" w:cs="Arial"/>
          <w:color w:val="000000" w:themeColor="text1"/>
        </w:rPr>
        <w:t xml:space="preserve"> </w:t>
      </w:r>
      <w:r w:rsidR="000949B9" w:rsidRPr="00D174AB">
        <w:rPr>
          <w:rFonts w:ascii="Arial" w:hAnsi="Arial" w:cs="Arial"/>
          <w:bCs/>
        </w:rPr>
        <w:t xml:space="preserve">RBX7455 </w:t>
      </w:r>
      <w:r w:rsidR="00521CB2">
        <w:rPr>
          <w:rFonts w:ascii="Arial" w:hAnsi="Arial" w:cs="Arial"/>
          <w:bCs/>
        </w:rPr>
        <w:t>administration began 4</w:t>
      </w:r>
      <w:r w:rsidR="000949B9" w:rsidRPr="00D174AB">
        <w:rPr>
          <w:rFonts w:ascii="Arial" w:hAnsi="Arial" w:cs="Arial"/>
          <w:bCs/>
        </w:rPr>
        <w:t>8 hours after finishing CDI antibiotics</w:t>
      </w:r>
      <w:r w:rsidR="00E44C14" w:rsidRPr="00D174AB">
        <w:rPr>
          <w:rFonts w:ascii="Arial" w:hAnsi="Arial" w:cs="Arial"/>
          <w:color w:val="000000" w:themeColor="text1"/>
        </w:rPr>
        <w:t>.</w:t>
      </w:r>
      <w:r w:rsidR="00E44C14" w:rsidRPr="00D174AB">
        <w:rPr>
          <w:rFonts w:ascii="Arial" w:hAnsi="Arial" w:cs="Arial"/>
          <w:bCs/>
        </w:rPr>
        <w:t xml:space="preserve"> </w:t>
      </w:r>
      <w:r w:rsidR="000949B9">
        <w:rPr>
          <w:rFonts w:ascii="Arial" w:hAnsi="Arial" w:cs="Arial"/>
          <w:color w:val="000000" w:themeColor="text1"/>
        </w:rPr>
        <w:t xml:space="preserve">Participants were asked to </w:t>
      </w:r>
      <w:r w:rsidR="00E44C14" w:rsidRPr="00D174AB">
        <w:rPr>
          <w:rFonts w:ascii="Arial" w:hAnsi="Arial" w:cs="Arial"/>
          <w:color w:val="000000" w:themeColor="text1"/>
        </w:rPr>
        <w:t>submit stool samples at baseline, 1, 7, 28 and 56 days after treatment</w:t>
      </w:r>
      <w:r w:rsidR="00521CB2">
        <w:rPr>
          <w:rFonts w:ascii="Arial" w:hAnsi="Arial" w:cs="Arial"/>
          <w:color w:val="000000" w:themeColor="text1"/>
        </w:rPr>
        <w:t>. These</w:t>
      </w:r>
      <w:r w:rsidR="000949B9">
        <w:rPr>
          <w:rFonts w:ascii="Arial" w:hAnsi="Arial" w:cs="Arial"/>
          <w:color w:val="000000" w:themeColor="text1"/>
        </w:rPr>
        <w:t xml:space="preserve"> were extracted and sequenced using a shallow shotgun method</w:t>
      </w:r>
      <w:r w:rsidR="00731B0F">
        <w:rPr>
          <w:rFonts w:ascii="Arial" w:hAnsi="Arial" w:cs="Arial"/>
          <w:color w:val="000000" w:themeColor="text1"/>
        </w:rPr>
        <w:t xml:space="preserve">. </w:t>
      </w:r>
      <w:r w:rsidR="00E44C14" w:rsidRPr="00D174AB">
        <w:rPr>
          <w:rFonts w:ascii="Arial" w:hAnsi="Arial" w:cs="Arial"/>
          <w:bCs/>
        </w:rPr>
        <w:t xml:space="preserve">Relative taxonomic abundances at the class level and the presence of AMR genes were determined for </w:t>
      </w:r>
      <w:r w:rsidR="00731B0F">
        <w:rPr>
          <w:rFonts w:ascii="Arial" w:hAnsi="Arial" w:cs="Arial"/>
          <w:bCs/>
        </w:rPr>
        <w:t xml:space="preserve">148 participant </w:t>
      </w:r>
      <w:r w:rsidR="00E44C14" w:rsidRPr="00D174AB">
        <w:rPr>
          <w:rFonts w:ascii="Arial" w:hAnsi="Arial" w:cs="Arial"/>
          <w:bCs/>
        </w:rPr>
        <w:t xml:space="preserve">samples </w:t>
      </w:r>
      <w:r w:rsidR="00731B0F">
        <w:rPr>
          <w:rFonts w:ascii="Arial" w:hAnsi="Arial" w:cs="Arial"/>
          <w:bCs/>
        </w:rPr>
        <w:t xml:space="preserve">and 11 product samples </w:t>
      </w:r>
      <w:r w:rsidR="00E44C14" w:rsidRPr="00D174AB">
        <w:rPr>
          <w:rFonts w:ascii="Arial" w:hAnsi="Arial" w:cs="Arial"/>
          <w:bCs/>
        </w:rPr>
        <w:t xml:space="preserve">using </w:t>
      </w:r>
      <w:r w:rsidR="004502D6">
        <w:rPr>
          <w:rFonts w:ascii="Arial" w:hAnsi="Arial" w:cs="Arial"/>
          <w:bCs/>
        </w:rPr>
        <w:t>9</w:t>
      </w:r>
      <w:r w:rsidR="00E44C14" w:rsidRPr="00D174AB">
        <w:rPr>
          <w:rFonts w:ascii="Arial" w:hAnsi="Arial" w:cs="Arial"/>
          <w:bCs/>
        </w:rPr>
        <w:t xml:space="preserve">0% K-mer sequence coverage </w:t>
      </w:r>
      <w:r w:rsidR="00521CB2">
        <w:rPr>
          <w:rFonts w:ascii="Arial" w:hAnsi="Arial" w:cs="Arial"/>
          <w:bCs/>
        </w:rPr>
        <w:t xml:space="preserve">based on the </w:t>
      </w:r>
      <w:r w:rsidR="000F06CA">
        <w:rPr>
          <w:rFonts w:ascii="Arial" w:hAnsi="Arial" w:cs="Arial"/>
          <w:bCs/>
        </w:rPr>
        <w:t>MEGARes database</w:t>
      </w:r>
      <w:r w:rsidR="00E44C14" w:rsidRPr="00D174AB">
        <w:rPr>
          <w:rFonts w:ascii="Arial" w:hAnsi="Arial" w:cs="Arial"/>
          <w:bCs/>
        </w:rPr>
        <w:t>.</w:t>
      </w:r>
    </w:p>
    <w:p w14:paraId="482E7DB2" w14:textId="7D9BBA4C" w:rsidR="00C96DF1" w:rsidRPr="00E47721" w:rsidRDefault="0045204A" w:rsidP="00C96D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b/>
          <w:bCs/>
          <w:sz w:val="20"/>
          <w:szCs w:val="20"/>
        </w:rPr>
        <w:t>RESULTS</w:t>
      </w:r>
      <w:r w:rsidRPr="00D174AB">
        <w:rPr>
          <w:rFonts w:ascii="Arial" w:hAnsi="Arial" w:cs="Arial"/>
          <w:b/>
          <w:bCs/>
          <w:sz w:val="20"/>
          <w:szCs w:val="20"/>
        </w:rPr>
        <w:br/>
      </w:r>
      <w:r w:rsidR="00A93F27">
        <w:rPr>
          <w:rFonts w:ascii="Arial" w:hAnsi="Arial" w:cs="Arial"/>
          <w:bCs/>
          <w:sz w:val="20"/>
          <w:szCs w:val="20"/>
        </w:rPr>
        <w:t>Ninety percent</w:t>
      </w:r>
      <w:r w:rsidR="00731B0F" w:rsidRPr="00142E56">
        <w:rPr>
          <w:rFonts w:ascii="Arial" w:hAnsi="Arial" w:cs="Arial"/>
          <w:bCs/>
          <w:sz w:val="20"/>
          <w:szCs w:val="20"/>
        </w:rPr>
        <w:t xml:space="preserve"> of participants met the </w:t>
      </w:r>
      <w:r w:rsidR="00731B0F" w:rsidRPr="00142E56">
        <w:rPr>
          <w:rFonts w:ascii="Arial" w:hAnsi="Arial" w:cs="Arial"/>
          <w:color w:val="000000" w:themeColor="text1"/>
          <w:sz w:val="20"/>
          <w:szCs w:val="20"/>
        </w:rPr>
        <w:t>primary endpoint of no CDI recurrence through 8 weeks after treatment</w:t>
      </w:r>
      <w:r w:rsidR="00521CB2">
        <w:rPr>
          <w:rFonts w:ascii="Arial" w:hAnsi="Arial" w:cs="Arial"/>
          <w:sz w:val="20"/>
          <w:szCs w:val="20"/>
        </w:rPr>
        <w:t>, and participant</w:t>
      </w:r>
      <w:r w:rsidR="00731B0F" w:rsidRPr="00E47721">
        <w:rPr>
          <w:rFonts w:ascii="Arial" w:hAnsi="Arial" w:cs="Arial"/>
          <w:sz w:val="20"/>
          <w:szCs w:val="20"/>
        </w:rPr>
        <w:t xml:space="preserve"> </w:t>
      </w:r>
      <w:r w:rsidR="00521CB2">
        <w:rPr>
          <w:rFonts w:ascii="Arial" w:hAnsi="Arial" w:cs="Arial"/>
          <w:sz w:val="20"/>
          <w:szCs w:val="20"/>
        </w:rPr>
        <w:t>microbiome compositions became more similar to RBX7455 after treatment. The</w:t>
      </w:r>
      <w:r w:rsidR="00E47721" w:rsidRPr="00E47721">
        <w:rPr>
          <w:rFonts w:ascii="Arial" w:hAnsi="Arial" w:cs="Arial"/>
          <w:sz w:val="20"/>
          <w:szCs w:val="20"/>
        </w:rPr>
        <w:t xml:space="preserve"> total AMR counts</w:t>
      </w:r>
      <w:r w:rsidR="00835951">
        <w:rPr>
          <w:rFonts w:ascii="Arial" w:hAnsi="Arial" w:cs="Arial"/>
          <w:sz w:val="20"/>
          <w:szCs w:val="20"/>
        </w:rPr>
        <w:t xml:space="preserve"> per </w:t>
      </w:r>
      <w:r w:rsidR="00521CB2">
        <w:rPr>
          <w:rFonts w:ascii="Arial" w:hAnsi="Arial" w:cs="Arial"/>
          <w:sz w:val="20"/>
          <w:szCs w:val="20"/>
        </w:rPr>
        <w:t>participant decreased</w:t>
      </w:r>
      <w:r w:rsidR="00835951">
        <w:rPr>
          <w:rFonts w:ascii="Arial" w:hAnsi="Arial" w:cs="Arial"/>
          <w:sz w:val="20"/>
          <w:szCs w:val="20"/>
        </w:rPr>
        <w:t xml:space="preserve"> f</w:t>
      </w:r>
      <w:r w:rsidR="00E47721" w:rsidRPr="00E47721">
        <w:rPr>
          <w:rFonts w:ascii="Arial" w:hAnsi="Arial" w:cs="Arial"/>
          <w:sz w:val="20"/>
          <w:szCs w:val="20"/>
        </w:rPr>
        <w:t>rom before to after treatment (</w:t>
      </w:r>
      <w:r w:rsidR="00E47721" w:rsidRPr="00E47721">
        <w:rPr>
          <w:rFonts w:ascii="Arial" w:hAnsi="Arial" w:cs="Arial"/>
          <w:i/>
          <w:sz w:val="20"/>
          <w:szCs w:val="20"/>
        </w:rPr>
        <w:t>p</w:t>
      </w:r>
      <w:r w:rsidR="00E47721" w:rsidRPr="00E47721">
        <w:rPr>
          <w:rFonts w:ascii="Arial" w:hAnsi="Arial" w:cs="Arial"/>
          <w:sz w:val="20"/>
          <w:szCs w:val="20"/>
        </w:rPr>
        <w:t xml:space="preserve">&lt;.05, mixed effects model), </w:t>
      </w:r>
      <w:r w:rsidR="00521CB2">
        <w:rPr>
          <w:rFonts w:ascii="Arial" w:hAnsi="Arial" w:cs="Arial"/>
          <w:sz w:val="20"/>
          <w:szCs w:val="20"/>
        </w:rPr>
        <w:t>with the</w:t>
      </w:r>
      <w:r w:rsidR="00E47721" w:rsidRPr="00E47721">
        <w:rPr>
          <w:rFonts w:ascii="Arial" w:hAnsi="Arial" w:cs="Arial"/>
          <w:sz w:val="20"/>
          <w:szCs w:val="20"/>
        </w:rPr>
        <w:t xml:space="preserve"> </w:t>
      </w:r>
      <w:r w:rsidR="00835951">
        <w:rPr>
          <w:rFonts w:ascii="Arial" w:hAnsi="Arial" w:cs="Arial"/>
          <w:sz w:val="20"/>
          <w:szCs w:val="20"/>
        </w:rPr>
        <w:t>pattern of AMRs identified (resistome) bec</w:t>
      </w:r>
      <w:r w:rsidR="00521CB2">
        <w:rPr>
          <w:rFonts w:ascii="Arial" w:hAnsi="Arial" w:cs="Arial"/>
          <w:sz w:val="20"/>
          <w:szCs w:val="20"/>
        </w:rPr>
        <w:t>oming</w:t>
      </w:r>
      <w:r w:rsidR="00835951">
        <w:rPr>
          <w:rFonts w:ascii="Arial" w:hAnsi="Arial" w:cs="Arial"/>
          <w:sz w:val="20"/>
          <w:szCs w:val="20"/>
        </w:rPr>
        <w:t xml:space="preserve"> more like the RBX7455 resistome (Figure 1). Most notably, AMRs associated with multi-drug</w:t>
      </w:r>
      <w:r w:rsidR="00521CB2">
        <w:rPr>
          <w:rFonts w:ascii="Arial" w:hAnsi="Arial" w:cs="Arial"/>
          <w:sz w:val="20"/>
          <w:szCs w:val="20"/>
        </w:rPr>
        <w:t>, f</w:t>
      </w:r>
      <w:r w:rsidR="00835951">
        <w:rPr>
          <w:rFonts w:ascii="Arial" w:hAnsi="Arial" w:cs="Arial"/>
          <w:sz w:val="20"/>
          <w:szCs w:val="20"/>
        </w:rPr>
        <w:t>luoroquinolone</w:t>
      </w:r>
      <w:r w:rsidR="00521CB2">
        <w:rPr>
          <w:rFonts w:ascii="Arial" w:hAnsi="Arial" w:cs="Arial"/>
          <w:sz w:val="20"/>
          <w:szCs w:val="20"/>
        </w:rPr>
        <w:t>,</w:t>
      </w:r>
      <w:r w:rsidR="00835951">
        <w:rPr>
          <w:rFonts w:ascii="Arial" w:hAnsi="Arial" w:cs="Arial"/>
          <w:sz w:val="20"/>
          <w:szCs w:val="20"/>
        </w:rPr>
        <w:t xml:space="preserve"> and betalactam resistance decreased from before to after treatment. </w:t>
      </w:r>
      <w:r w:rsidR="00C96DF1" w:rsidRPr="00E4772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There was no significant difference </w:t>
      </w:r>
      <w:r w:rsidR="00521C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among</w:t>
      </w:r>
      <w:r w:rsidR="00521CB2" w:rsidRPr="002C19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 the groups</w:t>
      </w:r>
      <w:r w:rsidR="00521C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 with respect to clinical response or changes in microbiome composition </w:t>
      </w:r>
      <w:r w:rsidR="000F06C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and</w:t>
      </w:r>
      <w:r w:rsidR="00521C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 AMR content.</w:t>
      </w:r>
    </w:p>
    <w:p w14:paraId="296C6F83" w14:textId="3160FB0D" w:rsidR="003D1565" w:rsidRPr="00D174AB" w:rsidRDefault="0045204A" w:rsidP="00C00B76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b/>
          <w:bCs/>
          <w:sz w:val="20"/>
          <w:szCs w:val="20"/>
        </w:rPr>
        <w:t>CONCLUSION</w:t>
      </w:r>
      <w:r w:rsidRPr="00D174AB">
        <w:rPr>
          <w:rFonts w:ascii="Arial" w:hAnsi="Arial" w:cs="Arial"/>
          <w:b/>
          <w:bCs/>
          <w:sz w:val="20"/>
          <w:szCs w:val="20"/>
        </w:rPr>
        <w:br/>
      </w:r>
      <w:r w:rsidR="00C96DF1" w:rsidRPr="00D174AB">
        <w:rPr>
          <w:rFonts w:ascii="Arial" w:hAnsi="Arial" w:cs="Arial"/>
          <w:sz w:val="20"/>
          <w:szCs w:val="20"/>
        </w:rPr>
        <w:t xml:space="preserve">In a </w:t>
      </w:r>
      <w:r w:rsidR="000F06CA">
        <w:rPr>
          <w:rFonts w:ascii="Arial" w:hAnsi="Arial" w:cs="Arial"/>
          <w:sz w:val="20"/>
          <w:szCs w:val="20"/>
        </w:rPr>
        <w:t xml:space="preserve">Phase 1 trial of </w:t>
      </w:r>
      <w:r w:rsidR="00C96DF1" w:rsidRPr="00D174AB">
        <w:rPr>
          <w:rFonts w:ascii="Arial" w:hAnsi="Arial" w:cs="Arial"/>
          <w:sz w:val="20"/>
          <w:szCs w:val="20"/>
        </w:rPr>
        <w:t>RBX7455 for rCDI</w:t>
      </w:r>
      <w:r w:rsidR="000F06CA">
        <w:rPr>
          <w:rFonts w:ascii="Arial" w:hAnsi="Arial" w:cs="Arial"/>
          <w:sz w:val="20"/>
          <w:szCs w:val="20"/>
        </w:rPr>
        <w:t>, AMR gene content decreased after treatment</w:t>
      </w:r>
      <w:r w:rsidR="00C96DF1" w:rsidRPr="00D174AB">
        <w:rPr>
          <w:rFonts w:ascii="Arial" w:hAnsi="Arial" w:cs="Arial"/>
          <w:sz w:val="20"/>
          <w:szCs w:val="20"/>
        </w:rPr>
        <w:t xml:space="preserve">. This underscores the potential of </w:t>
      </w:r>
      <w:r w:rsidR="000F06CA">
        <w:rPr>
          <w:rFonts w:ascii="Arial" w:hAnsi="Arial" w:cs="Arial"/>
          <w:sz w:val="20"/>
          <w:szCs w:val="20"/>
        </w:rPr>
        <w:t>microbiota-based</w:t>
      </w:r>
      <w:r w:rsidR="00C96DF1" w:rsidRPr="00D174AB">
        <w:rPr>
          <w:rFonts w:ascii="Arial" w:hAnsi="Arial" w:cs="Arial"/>
          <w:sz w:val="20"/>
          <w:szCs w:val="20"/>
        </w:rPr>
        <w:t xml:space="preserve"> therapies for decolonizing AMR bacteria from the gut microbiota. </w:t>
      </w:r>
      <w:r w:rsidR="000F06CA">
        <w:rPr>
          <w:rFonts w:ascii="Arial" w:hAnsi="Arial" w:cs="Arial"/>
          <w:sz w:val="20"/>
          <w:szCs w:val="20"/>
        </w:rPr>
        <w:t>Continued clinical evaluation of RBX7455 is underway.</w:t>
      </w:r>
    </w:p>
    <w:p w14:paraId="2B483A65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2FA01010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324FD94F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22057D1E" w14:textId="77777777" w:rsidR="00C96DF1" w:rsidRDefault="00C96DF1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br w:type="page"/>
      </w:r>
    </w:p>
    <w:p w14:paraId="47E9F779" w14:textId="36046DA6" w:rsidR="00C96DF1" w:rsidRDefault="00C96DF1" w:rsidP="005843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B519C3" w14:textId="4E9BFBE4" w:rsidR="00142E56" w:rsidRPr="00142E56" w:rsidRDefault="00142E56" w:rsidP="005843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B5D9787" wp14:editId="22E678C4">
                <wp:extent cx="4464996" cy="505838"/>
                <wp:effectExtent l="0" t="0" r="5715" b="25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996" cy="50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B3367" w14:textId="77777777" w:rsidR="00142E56" w:rsidRDefault="00142E56" w:rsidP="00142E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20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lang w:bidi="ar-SA"/>
                              </w:rPr>
                              <w:t>Figure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lang w:bidi="ar-SA"/>
                              </w:rPr>
                              <w:t xml:space="preserve">–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total and per-class AMR gene counts in participant samples before and after RBX7455 treatment. </w:t>
                            </w:r>
                          </w:p>
                          <w:p w14:paraId="5F2861E3" w14:textId="77777777" w:rsidR="00142E56" w:rsidRDefault="00142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5D9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1.5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" fillcolor="white [3201]" stroked="f" strokeweight=".5pt">
                <v:textbox>
                  <w:txbxContent>
                    <w:p w14:paraId="769B3367" w14:textId="77777777" w:rsidR="00142E56" w:rsidRDefault="00142E56" w:rsidP="00142E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204A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0"/>
                          <w:szCs w:val="20"/>
                          <w:lang w:bidi="ar-SA"/>
                        </w:rPr>
                        <w:t>Figure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0"/>
                          <w:szCs w:val="20"/>
                          <w:lang w:bidi="ar-SA"/>
                        </w:rPr>
                        <w:t xml:space="preserve">–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total and per-class AMR gene counts in participant samples before and after RBX7455 treatment. </w:t>
                      </w:r>
                    </w:p>
                    <w:p w14:paraId="5F2861E3" w14:textId="77777777" w:rsidR="00142E56" w:rsidRDefault="00142E56"/>
                  </w:txbxContent>
                </v:textbox>
                <w10:anchorlock/>
              </v:shape>
            </w:pict>
          </mc:Fallback>
        </mc:AlternateContent>
      </w:r>
    </w:p>
    <w:p w14:paraId="0CAAC008" w14:textId="502AB0CD" w:rsidR="00C96DF1" w:rsidRPr="003D1565" w:rsidRDefault="00142E56" w:rsidP="00584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</w:t>
      </w:r>
      <w:r w:rsidR="00A9353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10CD7E32" wp14:editId="5DBB6076">
            <wp:extent cx="3761510" cy="3342944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R_Counts_per_Class_bar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5" r="15262"/>
                    <a:stretch/>
                  </pic:blipFill>
                  <pic:spPr bwMode="auto">
                    <a:xfrm>
                      <a:off x="0" y="0"/>
                      <a:ext cx="3761882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A41D6" w14:textId="35E5D693" w:rsidR="00882E7E" w:rsidRPr="003D1565" w:rsidRDefault="00882E7E" w:rsidP="003D1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sectPr w:rsidR="00882E7E" w:rsidRPr="003D1565" w:rsidSect="00BA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111"/>
    <w:multiLevelType w:val="hybridMultilevel"/>
    <w:tmpl w:val="858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C2F"/>
    <w:multiLevelType w:val="hybridMultilevel"/>
    <w:tmpl w:val="745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E2E"/>
    <w:multiLevelType w:val="multilevel"/>
    <w:tmpl w:val="FC7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50"/>
    <w:rsid w:val="00020E98"/>
    <w:rsid w:val="00060126"/>
    <w:rsid w:val="00060B61"/>
    <w:rsid w:val="00065619"/>
    <w:rsid w:val="00070D06"/>
    <w:rsid w:val="0008224B"/>
    <w:rsid w:val="000949B9"/>
    <w:rsid w:val="000A21EA"/>
    <w:rsid w:val="000A3B38"/>
    <w:rsid w:val="000B5598"/>
    <w:rsid w:val="000E5DE1"/>
    <w:rsid w:val="000F06CA"/>
    <w:rsid w:val="00105D10"/>
    <w:rsid w:val="00111A22"/>
    <w:rsid w:val="00142E56"/>
    <w:rsid w:val="0016390B"/>
    <w:rsid w:val="00167C2F"/>
    <w:rsid w:val="001D7060"/>
    <w:rsid w:val="001E3E13"/>
    <w:rsid w:val="00200964"/>
    <w:rsid w:val="00200F73"/>
    <w:rsid w:val="00224A5F"/>
    <w:rsid w:val="00250D40"/>
    <w:rsid w:val="00256C55"/>
    <w:rsid w:val="002910F7"/>
    <w:rsid w:val="002A2327"/>
    <w:rsid w:val="002A412F"/>
    <w:rsid w:val="002B62D3"/>
    <w:rsid w:val="002F0570"/>
    <w:rsid w:val="00307914"/>
    <w:rsid w:val="0032710F"/>
    <w:rsid w:val="00371F04"/>
    <w:rsid w:val="00391A48"/>
    <w:rsid w:val="00392553"/>
    <w:rsid w:val="003A28DC"/>
    <w:rsid w:val="003B2F84"/>
    <w:rsid w:val="003D1565"/>
    <w:rsid w:val="003E7D41"/>
    <w:rsid w:val="00407C26"/>
    <w:rsid w:val="00415297"/>
    <w:rsid w:val="0042701A"/>
    <w:rsid w:val="004502D6"/>
    <w:rsid w:val="0045204A"/>
    <w:rsid w:val="00454B44"/>
    <w:rsid w:val="00455CAF"/>
    <w:rsid w:val="0046613A"/>
    <w:rsid w:val="00482EB0"/>
    <w:rsid w:val="004A2E84"/>
    <w:rsid w:val="004A5D2B"/>
    <w:rsid w:val="004A77E4"/>
    <w:rsid w:val="004E1421"/>
    <w:rsid w:val="00521CB2"/>
    <w:rsid w:val="0058431B"/>
    <w:rsid w:val="005A64C2"/>
    <w:rsid w:val="005A6C4F"/>
    <w:rsid w:val="005A6DB9"/>
    <w:rsid w:val="00620FAD"/>
    <w:rsid w:val="006274A4"/>
    <w:rsid w:val="006333DF"/>
    <w:rsid w:val="0064761A"/>
    <w:rsid w:val="00651821"/>
    <w:rsid w:val="0067732B"/>
    <w:rsid w:val="00677D70"/>
    <w:rsid w:val="006864EF"/>
    <w:rsid w:val="006A27F3"/>
    <w:rsid w:val="00700E03"/>
    <w:rsid w:val="00704120"/>
    <w:rsid w:val="00706AA6"/>
    <w:rsid w:val="00725C50"/>
    <w:rsid w:val="00726629"/>
    <w:rsid w:val="00727E11"/>
    <w:rsid w:val="00731B0F"/>
    <w:rsid w:val="007339EC"/>
    <w:rsid w:val="00747041"/>
    <w:rsid w:val="00763E64"/>
    <w:rsid w:val="00766B5B"/>
    <w:rsid w:val="00773B5C"/>
    <w:rsid w:val="00773C6E"/>
    <w:rsid w:val="00790D7C"/>
    <w:rsid w:val="00791413"/>
    <w:rsid w:val="007970FD"/>
    <w:rsid w:val="007A1CFE"/>
    <w:rsid w:val="007B73DF"/>
    <w:rsid w:val="007C5F6E"/>
    <w:rsid w:val="007E031C"/>
    <w:rsid w:val="0081165A"/>
    <w:rsid w:val="00835951"/>
    <w:rsid w:val="0083642F"/>
    <w:rsid w:val="008559FD"/>
    <w:rsid w:val="00862DF6"/>
    <w:rsid w:val="008634BC"/>
    <w:rsid w:val="008724D6"/>
    <w:rsid w:val="00874679"/>
    <w:rsid w:val="00882E7E"/>
    <w:rsid w:val="008A6C71"/>
    <w:rsid w:val="008B5CFB"/>
    <w:rsid w:val="008D7E50"/>
    <w:rsid w:val="009339C6"/>
    <w:rsid w:val="009758B2"/>
    <w:rsid w:val="009A0010"/>
    <w:rsid w:val="009C59F8"/>
    <w:rsid w:val="00A1368A"/>
    <w:rsid w:val="00A20165"/>
    <w:rsid w:val="00A440FC"/>
    <w:rsid w:val="00A61624"/>
    <w:rsid w:val="00A61E4C"/>
    <w:rsid w:val="00A92989"/>
    <w:rsid w:val="00A9353E"/>
    <w:rsid w:val="00A93F27"/>
    <w:rsid w:val="00A95025"/>
    <w:rsid w:val="00AC2BDC"/>
    <w:rsid w:val="00AE6BED"/>
    <w:rsid w:val="00B016A7"/>
    <w:rsid w:val="00B10584"/>
    <w:rsid w:val="00B45B67"/>
    <w:rsid w:val="00B52BEE"/>
    <w:rsid w:val="00B67DDC"/>
    <w:rsid w:val="00BA4E12"/>
    <w:rsid w:val="00BD2BD5"/>
    <w:rsid w:val="00BF28DA"/>
    <w:rsid w:val="00C00B76"/>
    <w:rsid w:val="00C1338B"/>
    <w:rsid w:val="00C674D6"/>
    <w:rsid w:val="00C714C0"/>
    <w:rsid w:val="00C76329"/>
    <w:rsid w:val="00C9461B"/>
    <w:rsid w:val="00C96DF1"/>
    <w:rsid w:val="00CA4DFC"/>
    <w:rsid w:val="00CD0A32"/>
    <w:rsid w:val="00CD53C6"/>
    <w:rsid w:val="00CE7EE4"/>
    <w:rsid w:val="00D15BF4"/>
    <w:rsid w:val="00D174AB"/>
    <w:rsid w:val="00D54084"/>
    <w:rsid w:val="00DA0872"/>
    <w:rsid w:val="00DB1675"/>
    <w:rsid w:val="00DC220E"/>
    <w:rsid w:val="00DC5530"/>
    <w:rsid w:val="00DF05F9"/>
    <w:rsid w:val="00DF2BC9"/>
    <w:rsid w:val="00DF6457"/>
    <w:rsid w:val="00E016EB"/>
    <w:rsid w:val="00E42CA8"/>
    <w:rsid w:val="00E44C14"/>
    <w:rsid w:val="00E47721"/>
    <w:rsid w:val="00E600D6"/>
    <w:rsid w:val="00EA5462"/>
    <w:rsid w:val="00EC29E9"/>
    <w:rsid w:val="00EC2EE5"/>
    <w:rsid w:val="00ED3052"/>
    <w:rsid w:val="00ED6EC5"/>
    <w:rsid w:val="00EE10BD"/>
    <w:rsid w:val="00EE5516"/>
    <w:rsid w:val="00F152B8"/>
    <w:rsid w:val="00F447FE"/>
    <w:rsid w:val="00F60FEB"/>
    <w:rsid w:val="00F81026"/>
    <w:rsid w:val="00FA4C71"/>
    <w:rsid w:val="00FB119F"/>
    <w:rsid w:val="00FD2706"/>
    <w:rsid w:val="00FE4EEB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83EC"/>
  <w15:chartTrackingRefBased/>
  <w15:docId w15:val="{2A7565EF-B432-AA41-BD74-D42C71D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50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50"/>
    <w:rPr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725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25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C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50"/>
    <w:rPr>
      <w:rFonts w:ascii="Times New Roman" w:hAnsi="Times New Roman" w:cs="Times New Roman"/>
      <w:sz w:val="18"/>
      <w:szCs w:val="18"/>
      <w:lang w:bidi="he-IL"/>
    </w:rPr>
  </w:style>
  <w:style w:type="paragraph" w:customStyle="1" w:styleId="Default">
    <w:name w:val="Default"/>
    <w:rsid w:val="003271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FD"/>
    <w:rPr>
      <w:b/>
      <w:bCs/>
      <w:sz w:val="20"/>
      <w:szCs w:val="2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5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week.org/abstr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1170E779E741A552CD3DBB0AD206" ma:contentTypeVersion="12" ma:contentTypeDescription="Create a new document." ma:contentTypeScope="" ma:versionID="1a3039a1f15b568e9ee3861f419da4ea">
  <xsd:schema xmlns:xsd="http://www.w3.org/2001/XMLSchema" xmlns:xs="http://www.w3.org/2001/XMLSchema" xmlns:p="http://schemas.microsoft.com/office/2006/metadata/properties" xmlns:ns1="http://schemas.microsoft.com/sharepoint/v3" xmlns:ns3="5bae7d12-13eb-4134-a1d8-2ddc8d2534e1" targetNamespace="http://schemas.microsoft.com/office/2006/metadata/properties" ma:root="true" ma:fieldsID="c188f158cdd1262556fcea0c66f11d9b" ns1:_="" ns3:_="">
    <xsd:import namespace="http://schemas.microsoft.com/sharepoint/v3"/>
    <xsd:import namespace="5bae7d12-13eb-4134-a1d8-2ddc8d2534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7d12-13eb-4134-a1d8-2ddc8d25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F8EAB-5296-469F-986C-B14FC4AB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ae7d12-13eb-4134-a1d8-2ddc8d253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6184-8F22-48D6-A42F-7FD498926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F830DA-F8A8-4621-9A2F-40CA2E4E4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4</cp:revision>
  <dcterms:created xsi:type="dcterms:W3CDTF">2020-06-18T05:48:00Z</dcterms:created>
  <dcterms:modified xsi:type="dcterms:W3CDTF">2020-06-18T20:40:00Z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0x01010054ED1170E779E741A552CD3DBB0AD206</vt:lpwstr>
  </property>
</Properties>
</file>