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20BA" w14:textId="77777777" w:rsidR="00725C50" w:rsidRPr="00725C50" w:rsidRDefault="00725C50" w:rsidP="00725C50">
      <w:pPr>
        <w:spacing w:after="0" w:line="240" w:lineRule="auto"/>
        <w:outlineLvl w:val="0"/>
        <w:rPr>
          <w:rFonts w:ascii="Arial Narrow" w:hAnsi="Arial Narrow"/>
          <w:color w:val="2F5496" w:themeColor="accent1" w:themeShade="BF"/>
          <w:sz w:val="20"/>
          <w:szCs w:val="20"/>
        </w:rPr>
      </w:pPr>
      <w:r w:rsidRPr="00725C50">
        <w:rPr>
          <w:rFonts w:ascii="Arial Narrow" w:hAnsi="Arial Narrow"/>
          <w:color w:val="2F5496" w:themeColor="accent1" w:themeShade="BF"/>
          <w:sz w:val="20"/>
          <w:szCs w:val="20"/>
        </w:rPr>
        <w:t xml:space="preserve">RBX Abstract for </w:t>
      </w:r>
      <w:hyperlink r:id="rId10" w:history="1">
        <w:r w:rsidR="00D6161C">
          <w:rPr>
            <w:rStyle w:val="Hyperlink"/>
            <w:rFonts w:ascii="Arial Narrow" w:hAnsi="Arial Narrow"/>
            <w:color w:val="2F5496" w:themeColor="accent1" w:themeShade="BF"/>
            <w:sz w:val="20"/>
            <w:szCs w:val="20"/>
          </w:rPr>
          <w:t>DDW 2022</w:t>
        </w:r>
      </w:hyperlink>
      <w:r w:rsidRPr="00725C50">
        <w:rPr>
          <w:rStyle w:val="Hyperlink"/>
          <w:rFonts w:ascii="Arial Narrow" w:hAnsi="Arial Narrow"/>
          <w:color w:val="2F5496" w:themeColor="accent1" w:themeShade="BF"/>
          <w:sz w:val="20"/>
          <w:szCs w:val="20"/>
        </w:rPr>
        <w:t xml:space="preserve"> </w:t>
      </w:r>
    </w:p>
    <w:p w14:paraId="33BB4CF9" w14:textId="77777777" w:rsidR="00725C50" w:rsidRPr="00725C50" w:rsidRDefault="00725C50" w:rsidP="00725C50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</w:p>
    <w:p w14:paraId="3384C6AC" w14:textId="413D7DAA" w:rsidR="005F3B44" w:rsidRDefault="005F3B44" w:rsidP="00011E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MICROBIOME AND BILE ACID RESTORATION WAS CONSISTENT ACROSS THREE CLINICAL TRIALS OF </w:t>
      </w:r>
      <w:r w:rsidR="00D4650B">
        <w:rPr>
          <w:rFonts w:ascii="Arial" w:hAnsi="Arial" w:cs="Arial"/>
          <w:b/>
          <w:bCs/>
          <w:sz w:val="20"/>
          <w:szCs w:val="20"/>
        </w:rPr>
        <w:t>RBX</w:t>
      </w:r>
      <w:r>
        <w:rPr>
          <w:rFonts w:ascii="Arial" w:hAnsi="Arial" w:cs="Arial"/>
          <w:b/>
          <w:bCs/>
          <w:sz w:val="20"/>
          <w:szCs w:val="20"/>
        </w:rPr>
        <w:t xml:space="preserve">2660 FOR RECURRENT </w:t>
      </w:r>
      <w:r w:rsidRPr="003F1355">
        <w:rPr>
          <w:rFonts w:ascii="Arial" w:hAnsi="Arial" w:cs="Arial"/>
          <w:b/>
          <w:bCs/>
          <w:i/>
          <w:iCs/>
          <w:sz w:val="20"/>
          <w:szCs w:val="20"/>
        </w:rPr>
        <w:t>CLOSTRIDIO</w:t>
      </w:r>
      <w:r w:rsidR="003F1355" w:rsidRPr="003F1355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3F1355">
        <w:rPr>
          <w:rFonts w:ascii="Arial" w:hAnsi="Arial" w:cs="Arial"/>
          <w:b/>
          <w:bCs/>
          <w:i/>
          <w:iCs/>
          <w:sz w:val="20"/>
          <w:szCs w:val="20"/>
        </w:rPr>
        <w:t>DES DIFFICILE</w:t>
      </w:r>
      <w:r>
        <w:rPr>
          <w:rFonts w:ascii="Arial" w:hAnsi="Arial" w:cs="Arial"/>
          <w:b/>
          <w:bCs/>
          <w:sz w:val="20"/>
          <w:szCs w:val="20"/>
        </w:rPr>
        <w:t xml:space="preserve"> INFECTION: A COMBINED ANALYSIS</w:t>
      </w:r>
    </w:p>
    <w:p w14:paraId="23D20C1A" w14:textId="26275AAC" w:rsidR="00725C50" w:rsidRPr="00011E1A" w:rsidRDefault="00725C50" w:rsidP="00011E1A">
      <w:pPr>
        <w:rPr>
          <w:b/>
        </w:rPr>
      </w:pPr>
      <w:r w:rsidRPr="00B8571C">
        <w:rPr>
          <w:rFonts w:ascii="Arial" w:hAnsi="Arial" w:cs="Arial"/>
          <w:bCs/>
          <w:color w:val="000000" w:themeColor="text1"/>
          <w:sz w:val="20"/>
          <w:szCs w:val="20"/>
        </w:rPr>
        <w:t>Ken Blount</w:t>
      </w:r>
      <w:r w:rsidR="00D6161C">
        <w:rPr>
          <w:rFonts w:ascii="Arial" w:hAnsi="Arial" w:cs="Arial"/>
          <w:bCs/>
          <w:color w:val="000000" w:themeColor="text1"/>
          <w:sz w:val="20"/>
          <w:szCs w:val="20"/>
        </w:rPr>
        <w:t xml:space="preserve"> PhD</w:t>
      </w:r>
      <w:r w:rsidR="00D6161C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</w:t>
      </w:r>
      <w:r w:rsidR="00D6161C" w:rsidRPr="00D6161C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D6161C">
        <w:rPr>
          <w:rFonts w:ascii="Arial" w:hAnsi="Arial" w:cs="Arial"/>
          <w:bCs/>
          <w:color w:val="000000" w:themeColor="text1"/>
          <w:sz w:val="20"/>
          <w:szCs w:val="20"/>
        </w:rPr>
        <w:t>Heidi Hau PhD</w:t>
      </w:r>
      <w:r w:rsidR="00D6161C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</w:t>
      </w:r>
      <w:r w:rsidR="00D6161C" w:rsidRPr="00D6161C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D6161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707EF">
        <w:rPr>
          <w:rFonts w:ascii="Arial" w:hAnsi="Arial" w:cs="Arial"/>
          <w:bCs/>
          <w:color w:val="000000" w:themeColor="text1"/>
          <w:sz w:val="20"/>
          <w:szCs w:val="20"/>
        </w:rPr>
        <w:t>Romeo Papazyan</w:t>
      </w:r>
      <w:r w:rsidR="00BE08B4">
        <w:rPr>
          <w:rFonts w:ascii="Arial" w:hAnsi="Arial" w:cs="Arial"/>
          <w:bCs/>
          <w:color w:val="000000" w:themeColor="text1"/>
          <w:sz w:val="20"/>
          <w:szCs w:val="20"/>
        </w:rPr>
        <w:t xml:space="preserve"> PhD</w:t>
      </w:r>
      <w:r w:rsidR="00BE08B4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BE08B4">
        <w:rPr>
          <w:rFonts w:ascii="Arial" w:hAnsi="Arial" w:cs="Arial"/>
          <w:bCs/>
          <w:color w:val="000000" w:themeColor="text1"/>
          <w:sz w:val="20"/>
          <w:szCs w:val="20"/>
        </w:rPr>
        <w:t>, Bryan Fuchs PhD</w:t>
      </w:r>
      <w:r w:rsidR="00BE08B4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BE08B4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D87CB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6161C">
        <w:rPr>
          <w:rFonts w:ascii="Arial" w:hAnsi="Arial" w:cs="Arial"/>
          <w:bCs/>
          <w:color w:val="000000" w:themeColor="text1"/>
          <w:sz w:val="20"/>
          <w:szCs w:val="20"/>
        </w:rPr>
        <w:t>Bill Shannon PhD MBA</w:t>
      </w:r>
      <w:r w:rsidR="007F7FA8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3</w:t>
      </w:r>
      <w:r w:rsidR="00D6161C">
        <w:rPr>
          <w:rFonts w:ascii="Arial" w:hAnsi="Arial" w:cs="Arial"/>
          <w:bCs/>
          <w:color w:val="000000" w:themeColor="text1"/>
          <w:sz w:val="20"/>
          <w:szCs w:val="20"/>
        </w:rPr>
        <w:t>, Carlos Gonzalez M</w:t>
      </w:r>
      <w:r w:rsidR="00AD1207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7F7FA8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3</w:t>
      </w:r>
    </w:p>
    <w:p w14:paraId="4C26FB97" w14:textId="77777777" w:rsidR="00725C50" w:rsidRPr="00D6161C" w:rsidRDefault="00D6161C" w:rsidP="00725C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616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1</w:t>
      </w:r>
      <w:r w:rsidR="00725C50" w:rsidRPr="00D616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 w:rsidR="00725C50" w:rsidRPr="00D6161C">
        <w:rPr>
          <w:rFonts w:ascii="Arial" w:hAnsi="Arial" w:cs="Arial"/>
          <w:color w:val="808080" w:themeColor="background1" w:themeShade="80"/>
          <w:sz w:val="20"/>
          <w:szCs w:val="20"/>
        </w:rPr>
        <w:t>Rebiotix Inc, Roseville, MN</w:t>
      </w:r>
      <w:r w:rsidR="00E42CA8" w:rsidRPr="00D6161C">
        <w:rPr>
          <w:rFonts w:ascii="Arial" w:hAnsi="Arial" w:cs="Arial"/>
          <w:color w:val="808080" w:themeColor="background1" w:themeShade="80"/>
          <w:sz w:val="20"/>
          <w:szCs w:val="20"/>
        </w:rPr>
        <w:t>, USA</w:t>
      </w:r>
      <w:r w:rsidRPr="00D616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A Ferring Company; </w:t>
      </w:r>
      <w:r w:rsidR="007F7FA8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 xml:space="preserve">2 </w:t>
      </w:r>
      <w:r w:rsidR="007F7FA8">
        <w:rPr>
          <w:rFonts w:ascii="Arial" w:hAnsi="Arial" w:cs="Arial"/>
          <w:color w:val="767171" w:themeColor="background2" w:themeShade="80"/>
          <w:sz w:val="20"/>
          <w:szCs w:val="20"/>
        </w:rPr>
        <w:t>Ferring Research Institute, San Diego, CA, USA</w:t>
      </w:r>
      <w:r w:rsidR="007F7FA8" w:rsidRPr="00D6161C">
        <w:rPr>
          <w:rFonts w:ascii="Arial" w:hAnsi="Arial" w:cs="Arial"/>
          <w:bCs/>
          <w:color w:val="808080" w:themeColor="background1" w:themeShade="80"/>
          <w:sz w:val="20"/>
          <w:szCs w:val="20"/>
          <w:vertAlign w:val="superscript"/>
        </w:rPr>
        <w:t xml:space="preserve"> </w:t>
      </w:r>
      <w:r w:rsidR="007F7FA8">
        <w:rPr>
          <w:rFonts w:ascii="Arial" w:hAnsi="Arial" w:cs="Arial"/>
          <w:bCs/>
          <w:color w:val="808080" w:themeColor="background1" w:themeShade="80"/>
          <w:sz w:val="20"/>
          <w:szCs w:val="20"/>
          <w:vertAlign w:val="superscript"/>
        </w:rPr>
        <w:t>3</w:t>
      </w:r>
      <w:r w:rsidRPr="00D6161C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BioRankings, LLC, St. Louis, MO, USA</w:t>
      </w:r>
    </w:p>
    <w:p w14:paraId="0E8EA7E6" w14:textId="77777777" w:rsidR="00E42CA8" w:rsidRPr="008D7146" w:rsidRDefault="00E42CA8">
      <w:pPr>
        <w:rPr>
          <w:rFonts w:ascii="Arial" w:hAnsi="Arial" w:cs="Arial"/>
          <w:b/>
          <w:bCs/>
          <w:sz w:val="20"/>
          <w:szCs w:val="20"/>
        </w:rPr>
      </w:pPr>
    </w:p>
    <w:p w14:paraId="11CBE671" w14:textId="7ADA555C" w:rsidR="008D7146" w:rsidRPr="008D7146" w:rsidRDefault="0045204A" w:rsidP="008D7146">
      <w:pPr>
        <w:spacing w:line="240" w:lineRule="auto"/>
        <w:rPr>
          <w:rFonts w:ascii="Arial" w:hAnsi="Arial" w:cs="Arial"/>
          <w:sz w:val="20"/>
          <w:szCs w:val="20"/>
        </w:rPr>
      </w:pPr>
      <w:r w:rsidRPr="008D7146">
        <w:rPr>
          <w:rFonts w:ascii="Arial" w:hAnsi="Arial" w:cs="Arial"/>
          <w:b/>
          <w:bCs/>
          <w:sz w:val="20"/>
          <w:szCs w:val="20"/>
        </w:rPr>
        <w:t>BACKGROUND</w:t>
      </w:r>
      <w:r w:rsidRPr="008D7146">
        <w:rPr>
          <w:rFonts w:ascii="Arial" w:hAnsi="Arial" w:cs="Arial"/>
          <w:b/>
          <w:bCs/>
          <w:sz w:val="20"/>
          <w:szCs w:val="20"/>
        </w:rPr>
        <w:br/>
      </w:r>
      <w:r w:rsidR="00E9689A" w:rsidRPr="008D7146">
        <w:rPr>
          <w:rFonts w:ascii="Arial" w:hAnsi="Arial" w:cs="Arial"/>
          <w:iCs/>
          <w:color w:val="000000" w:themeColor="text1"/>
          <w:sz w:val="20"/>
          <w:szCs w:val="20"/>
        </w:rPr>
        <w:t xml:space="preserve">Recurrent </w:t>
      </w:r>
      <w:proofErr w:type="spellStart"/>
      <w:r w:rsidR="00E9689A" w:rsidRPr="008D7146">
        <w:rPr>
          <w:rFonts w:ascii="Arial" w:hAnsi="Arial" w:cs="Arial"/>
          <w:i/>
          <w:iCs/>
          <w:color w:val="000000" w:themeColor="text1"/>
          <w:sz w:val="20"/>
          <w:szCs w:val="20"/>
        </w:rPr>
        <w:t>Clostridioides</w:t>
      </w:r>
      <w:proofErr w:type="spellEnd"/>
      <w:r w:rsidR="00E9689A" w:rsidRPr="008D714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difficile</w:t>
      </w:r>
      <w:r w:rsidR="00E9689A" w:rsidRPr="008D7146">
        <w:rPr>
          <w:rFonts w:ascii="Arial" w:hAnsi="Arial" w:cs="Arial"/>
          <w:color w:val="000000" w:themeColor="text1"/>
          <w:sz w:val="20"/>
          <w:szCs w:val="20"/>
        </w:rPr>
        <w:t xml:space="preserve"> infections (rCDI) are an urgent public health threat</w:t>
      </w:r>
      <w:r w:rsidR="00E9689A" w:rsidRPr="008D714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74EF3" w:rsidRPr="008D7146">
        <w:rPr>
          <w:rFonts w:ascii="Arial" w:hAnsi="Arial" w:cs="Arial"/>
          <w:color w:val="000000" w:themeColor="text1"/>
          <w:sz w:val="20"/>
          <w:szCs w:val="20"/>
        </w:rPr>
        <w:t xml:space="preserve">associated with </w:t>
      </w:r>
      <w:r w:rsidR="001A723E">
        <w:rPr>
          <w:rFonts w:ascii="Arial" w:hAnsi="Arial" w:cs="Arial"/>
          <w:color w:val="000000" w:themeColor="text1"/>
          <w:sz w:val="20"/>
          <w:szCs w:val="20"/>
        </w:rPr>
        <w:t xml:space="preserve">microbiota disruption. </w:t>
      </w:r>
      <w:r w:rsidR="00E9689A" w:rsidRPr="008D7146">
        <w:rPr>
          <w:rFonts w:ascii="Arial" w:hAnsi="Arial" w:cs="Arial"/>
          <w:color w:val="000000" w:themeColor="text1"/>
          <w:sz w:val="20"/>
          <w:szCs w:val="20"/>
        </w:rPr>
        <w:t>RBX2660</w:t>
      </w:r>
      <w:r w:rsidR="00150A14">
        <w:rPr>
          <w:rFonts w:ascii="Arial" w:hAnsi="Arial" w:cs="Arial"/>
          <w:color w:val="000000" w:themeColor="text1"/>
          <w:sz w:val="20"/>
          <w:szCs w:val="20"/>
        </w:rPr>
        <w:t xml:space="preserve"> is</w:t>
      </w:r>
      <w:r w:rsidR="002826FF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150A14">
        <w:rPr>
          <w:rFonts w:ascii="Arial" w:hAnsi="Arial" w:cs="Arial"/>
          <w:color w:val="000000" w:themeColor="text1"/>
          <w:sz w:val="20"/>
          <w:szCs w:val="20"/>
        </w:rPr>
        <w:t xml:space="preserve"> micr</w:t>
      </w:r>
      <w:r w:rsidR="00E9689A" w:rsidRPr="008D7146">
        <w:rPr>
          <w:rFonts w:ascii="Arial" w:hAnsi="Arial" w:cs="Arial"/>
          <w:color w:val="000000" w:themeColor="text1"/>
          <w:sz w:val="20"/>
          <w:szCs w:val="20"/>
        </w:rPr>
        <w:t xml:space="preserve">obiota-based </w:t>
      </w:r>
      <w:r w:rsidR="00150A14">
        <w:rPr>
          <w:rFonts w:ascii="Arial" w:hAnsi="Arial" w:cs="Arial"/>
          <w:color w:val="000000" w:themeColor="text1"/>
          <w:sz w:val="20"/>
          <w:szCs w:val="20"/>
        </w:rPr>
        <w:t>investigational live bio</w:t>
      </w:r>
      <w:r w:rsidR="00E9689A" w:rsidRPr="008D7146">
        <w:rPr>
          <w:rFonts w:ascii="Arial" w:hAnsi="Arial" w:cs="Arial"/>
          <w:color w:val="000000" w:themeColor="text1"/>
          <w:sz w:val="20"/>
          <w:szCs w:val="20"/>
        </w:rPr>
        <w:t>therapeutic</w:t>
      </w:r>
      <w:r w:rsidR="00150A14">
        <w:rPr>
          <w:rFonts w:ascii="Arial" w:hAnsi="Arial" w:cs="Arial"/>
          <w:color w:val="000000" w:themeColor="text1"/>
          <w:sz w:val="20"/>
          <w:szCs w:val="20"/>
        </w:rPr>
        <w:t xml:space="preserve"> that has been evaluated in </w:t>
      </w:r>
      <w:r w:rsidR="00874EF3" w:rsidRPr="008D7146">
        <w:rPr>
          <w:rFonts w:ascii="Arial" w:hAnsi="Arial" w:cs="Arial"/>
          <w:color w:val="000000" w:themeColor="text1"/>
          <w:sz w:val="20"/>
          <w:szCs w:val="20"/>
        </w:rPr>
        <w:t>&gt;600 clinical trial participants</w:t>
      </w:r>
      <w:r w:rsidR="00150A14">
        <w:rPr>
          <w:rFonts w:ascii="Arial" w:hAnsi="Arial" w:cs="Arial"/>
          <w:color w:val="000000" w:themeColor="text1"/>
          <w:sz w:val="20"/>
          <w:szCs w:val="20"/>
        </w:rPr>
        <w:t xml:space="preserve"> for reducing recurrence of rCDI</w:t>
      </w:r>
      <w:r w:rsidR="00874EF3" w:rsidRPr="008D7146">
        <w:rPr>
          <w:rFonts w:ascii="Arial" w:hAnsi="Arial" w:cs="Arial"/>
          <w:color w:val="000000" w:themeColor="text1"/>
          <w:sz w:val="20"/>
          <w:szCs w:val="20"/>
        </w:rPr>
        <w:t xml:space="preserve">. Here we report </w:t>
      </w:r>
      <w:r w:rsidR="00A65AC3">
        <w:rPr>
          <w:rFonts w:ascii="Arial" w:hAnsi="Arial" w:cs="Arial"/>
          <w:color w:val="000000" w:themeColor="text1"/>
          <w:sz w:val="20"/>
          <w:szCs w:val="20"/>
        </w:rPr>
        <w:t>the</w:t>
      </w:r>
      <w:r w:rsidR="00272AC7">
        <w:rPr>
          <w:rFonts w:ascii="Arial" w:hAnsi="Arial" w:cs="Arial"/>
          <w:color w:val="000000" w:themeColor="text1"/>
          <w:sz w:val="20"/>
          <w:szCs w:val="20"/>
        </w:rPr>
        <w:t xml:space="preserve"> combined microbiome and metabolomic analysis of participants in three trials of RBX2660</w:t>
      </w:r>
      <w:r w:rsidR="001A723E">
        <w:rPr>
          <w:rFonts w:ascii="Arial" w:hAnsi="Arial" w:cs="Arial"/>
          <w:color w:val="000000" w:themeColor="text1"/>
          <w:sz w:val="20"/>
          <w:szCs w:val="20"/>
        </w:rPr>
        <w:t>, including correlation of treatment received and clinical response</w:t>
      </w:r>
      <w:r w:rsidR="009C5E7A">
        <w:rPr>
          <w:rFonts w:ascii="Arial" w:hAnsi="Arial" w:cs="Arial"/>
          <w:color w:val="000000" w:themeColor="text1"/>
          <w:sz w:val="20"/>
          <w:szCs w:val="20"/>
        </w:rPr>
        <w:t xml:space="preserve"> with restoration of 1) m</w:t>
      </w:r>
      <w:r w:rsidR="00911195">
        <w:rPr>
          <w:rFonts w:ascii="Arial" w:hAnsi="Arial" w:cs="Arial"/>
          <w:color w:val="000000" w:themeColor="text1"/>
          <w:sz w:val="20"/>
          <w:szCs w:val="20"/>
        </w:rPr>
        <w:t>icrobiome composition and diversity</w:t>
      </w:r>
      <w:r w:rsidR="009C5E7A">
        <w:rPr>
          <w:rFonts w:ascii="Arial" w:hAnsi="Arial" w:cs="Arial"/>
          <w:color w:val="000000" w:themeColor="text1"/>
          <w:sz w:val="20"/>
          <w:szCs w:val="20"/>
        </w:rPr>
        <w:t xml:space="preserve">, 2) </w:t>
      </w:r>
      <w:r w:rsidR="00911195">
        <w:rPr>
          <w:rFonts w:ascii="Arial" w:hAnsi="Arial" w:cs="Arial"/>
          <w:color w:val="000000" w:themeColor="text1"/>
          <w:sz w:val="20"/>
          <w:szCs w:val="20"/>
        </w:rPr>
        <w:t xml:space="preserve">a recently published </w:t>
      </w:r>
      <w:r w:rsidR="00717743" w:rsidRPr="008D714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Microbiome Health Index</w:t>
      </w:r>
      <w:r w:rsidR="0071774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™</w:t>
      </w:r>
      <w:r w:rsidR="00717743" w:rsidRPr="008D714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(MHI</w:t>
      </w:r>
      <w:r w:rsidR="0071774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-A) </w:t>
      </w:r>
      <w:r w:rsidR="00911195">
        <w:rPr>
          <w:rFonts w:ascii="Arial" w:hAnsi="Arial" w:cs="Arial"/>
          <w:color w:val="000000" w:themeColor="text1"/>
          <w:sz w:val="20"/>
          <w:szCs w:val="20"/>
        </w:rPr>
        <w:t xml:space="preserve">biomarker of </w:t>
      </w:r>
      <w:r w:rsidR="00AF3E64">
        <w:rPr>
          <w:rFonts w:ascii="Arial" w:hAnsi="Arial" w:cs="Arial"/>
          <w:color w:val="000000" w:themeColor="text1"/>
          <w:sz w:val="20"/>
          <w:szCs w:val="20"/>
        </w:rPr>
        <w:t xml:space="preserve">post-antibiotic dysbiosis and restoration, and </w:t>
      </w:r>
      <w:r w:rsidR="009C5E7A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="00AF3E64">
        <w:rPr>
          <w:rFonts w:ascii="Arial" w:hAnsi="Arial" w:cs="Arial"/>
          <w:color w:val="000000" w:themeColor="text1"/>
          <w:sz w:val="20"/>
          <w:szCs w:val="20"/>
        </w:rPr>
        <w:t>bile acid com</w:t>
      </w:r>
      <w:r w:rsidR="009C5E7A">
        <w:rPr>
          <w:rFonts w:ascii="Arial" w:hAnsi="Arial" w:cs="Arial"/>
          <w:color w:val="000000" w:themeColor="text1"/>
          <w:sz w:val="20"/>
          <w:szCs w:val="20"/>
        </w:rPr>
        <w:t>positions.</w:t>
      </w:r>
    </w:p>
    <w:p w14:paraId="56544641" w14:textId="7E7C1286" w:rsidR="00874EF3" w:rsidRPr="008D7146" w:rsidRDefault="0045204A" w:rsidP="008D7146">
      <w:pPr>
        <w:spacing w:line="240" w:lineRule="auto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 w:rsidRPr="008D7146">
        <w:rPr>
          <w:rFonts w:ascii="Arial" w:hAnsi="Arial" w:cs="Arial"/>
          <w:b/>
          <w:bCs/>
          <w:sz w:val="20"/>
          <w:szCs w:val="20"/>
        </w:rPr>
        <w:t>METHODS</w:t>
      </w:r>
      <w:r w:rsidRPr="008D7146">
        <w:rPr>
          <w:rFonts w:ascii="Arial" w:hAnsi="Arial" w:cs="Arial"/>
          <w:b/>
          <w:bCs/>
          <w:sz w:val="20"/>
          <w:szCs w:val="20"/>
        </w:rPr>
        <w:br/>
      </w:r>
      <w:r w:rsidR="00B46731">
        <w:rPr>
          <w:rFonts w:ascii="Arial" w:hAnsi="Arial" w:cs="Arial"/>
          <w:sz w:val="20"/>
          <w:szCs w:val="20"/>
        </w:rPr>
        <w:t>Included in this analysis were</w:t>
      </w:r>
      <w:r w:rsidR="00515494">
        <w:rPr>
          <w:rFonts w:ascii="Arial" w:hAnsi="Arial" w:cs="Arial"/>
          <w:sz w:val="20"/>
          <w:szCs w:val="20"/>
        </w:rPr>
        <w:t xml:space="preserve"> samples from</w:t>
      </w:r>
      <w:r w:rsidR="00B46731">
        <w:rPr>
          <w:rFonts w:ascii="Arial" w:hAnsi="Arial" w:cs="Arial"/>
          <w:sz w:val="20"/>
          <w:szCs w:val="20"/>
        </w:rPr>
        <w:t xml:space="preserve"> </w:t>
      </w:r>
      <w:r w:rsidR="002D7123">
        <w:rPr>
          <w:rFonts w:ascii="Arial" w:hAnsi="Arial" w:cs="Arial"/>
          <w:sz w:val="20"/>
          <w:szCs w:val="20"/>
        </w:rPr>
        <w:t xml:space="preserve">RBX2660- or </w:t>
      </w:r>
      <w:r w:rsidR="00B46731">
        <w:rPr>
          <w:rFonts w:ascii="Arial" w:hAnsi="Arial" w:cs="Arial"/>
          <w:sz w:val="20"/>
          <w:szCs w:val="20"/>
        </w:rPr>
        <w:t>placebo</w:t>
      </w:r>
      <w:r w:rsidR="00BF3723">
        <w:rPr>
          <w:rFonts w:ascii="Arial" w:hAnsi="Arial" w:cs="Arial"/>
          <w:sz w:val="20"/>
          <w:szCs w:val="20"/>
        </w:rPr>
        <w:t>-</w:t>
      </w:r>
      <w:r w:rsidR="00B46731">
        <w:rPr>
          <w:rFonts w:ascii="Arial" w:hAnsi="Arial" w:cs="Arial"/>
          <w:sz w:val="20"/>
          <w:szCs w:val="20"/>
        </w:rPr>
        <w:t>treated partic</w:t>
      </w:r>
      <w:r w:rsidR="002D7123">
        <w:rPr>
          <w:rFonts w:ascii="Arial" w:hAnsi="Arial" w:cs="Arial"/>
          <w:sz w:val="20"/>
          <w:szCs w:val="20"/>
        </w:rPr>
        <w:t xml:space="preserve">ipants in </w:t>
      </w:r>
      <w:r w:rsidR="00515494">
        <w:rPr>
          <w:rFonts w:ascii="Arial" w:hAnsi="Arial" w:cs="Arial"/>
          <w:sz w:val="20"/>
          <w:szCs w:val="20"/>
        </w:rPr>
        <w:t xml:space="preserve">the randomized, double-blind, placebo-controlled </w:t>
      </w:r>
      <w:r w:rsidR="002D7123">
        <w:rPr>
          <w:rFonts w:ascii="Arial" w:hAnsi="Arial" w:cs="Arial"/>
          <w:sz w:val="20"/>
          <w:szCs w:val="20"/>
        </w:rPr>
        <w:t>PUNCH CD2 (n</w:t>
      </w:r>
      <w:r w:rsidR="002D7123" w:rsidRPr="009603C9">
        <w:rPr>
          <w:rFonts w:ascii="Arial" w:hAnsi="Arial" w:cs="Arial"/>
          <w:sz w:val="20"/>
          <w:szCs w:val="20"/>
        </w:rPr>
        <w:t xml:space="preserve">=153) </w:t>
      </w:r>
      <w:r w:rsidR="005A0234" w:rsidRPr="009603C9">
        <w:rPr>
          <w:rFonts w:ascii="Arial" w:hAnsi="Arial" w:cs="Arial"/>
          <w:sz w:val="20"/>
          <w:szCs w:val="20"/>
        </w:rPr>
        <w:t>and PUNCH CD3 (n=</w:t>
      </w:r>
      <w:r w:rsidR="00515494" w:rsidRPr="009603C9">
        <w:rPr>
          <w:rFonts w:ascii="Arial" w:hAnsi="Arial" w:cs="Arial"/>
          <w:sz w:val="20"/>
          <w:szCs w:val="20"/>
        </w:rPr>
        <w:t xml:space="preserve">887) trials and </w:t>
      </w:r>
      <w:r w:rsidR="001A395B" w:rsidRPr="009603C9">
        <w:rPr>
          <w:rFonts w:ascii="Arial" w:hAnsi="Arial" w:cs="Arial"/>
          <w:sz w:val="20"/>
          <w:szCs w:val="20"/>
        </w:rPr>
        <w:t xml:space="preserve">from </w:t>
      </w:r>
      <w:r w:rsidR="001A723E">
        <w:rPr>
          <w:rFonts w:ascii="Arial" w:hAnsi="Arial" w:cs="Arial"/>
          <w:sz w:val="20"/>
          <w:szCs w:val="20"/>
        </w:rPr>
        <w:t>the open label</w:t>
      </w:r>
      <w:r w:rsidR="001A395B" w:rsidRPr="009603C9">
        <w:rPr>
          <w:rFonts w:ascii="Arial" w:hAnsi="Arial" w:cs="Arial"/>
          <w:sz w:val="20"/>
          <w:szCs w:val="20"/>
        </w:rPr>
        <w:t xml:space="preserve"> PUNCH OLS </w:t>
      </w:r>
      <w:r w:rsidR="001A395B" w:rsidRPr="009D0A6C">
        <w:rPr>
          <w:rFonts w:ascii="Arial" w:hAnsi="Arial" w:cs="Arial"/>
          <w:sz w:val="20"/>
          <w:szCs w:val="20"/>
        </w:rPr>
        <w:t>(n=</w:t>
      </w:r>
      <w:r w:rsidR="009603C9" w:rsidRPr="009D0A6C">
        <w:rPr>
          <w:rFonts w:ascii="Arial" w:hAnsi="Arial" w:cs="Arial"/>
          <w:sz w:val="20"/>
          <w:szCs w:val="20"/>
        </w:rPr>
        <w:t>653</w:t>
      </w:r>
      <w:r w:rsidR="001A395B" w:rsidRPr="009D0A6C">
        <w:rPr>
          <w:rFonts w:ascii="Arial" w:hAnsi="Arial" w:cs="Arial"/>
          <w:sz w:val="20"/>
          <w:szCs w:val="20"/>
        </w:rPr>
        <w:t>)</w:t>
      </w:r>
      <w:r w:rsidR="00671F17" w:rsidRPr="009D0A6C">
        <w:rPr>
          <w:rFonts w:ascii="Arial" w:hAnsi="Arial" w:cs="Arial"/>
          <w:sz w:val="20"/>
          <w:szCs w:val="20"/>
        </w:rPr>
        <w:t>.</w:t>
      </w:r>
      <w:r w:rsidR="00671F17">
        <w:rPr>
          <w:rFonts w:ascii="Arial" w:hAnsi="Arial" w:cs="Arial"/>
          <w:sz w:val="20"/>
          <w:szCs w:val="20"/>
        </w:rPr>
        <w:t xml:space="preserve"> </w:t>
      </w:r>
      <w:r w:rsidR="008D7146" w:rsidRPr="008D7146">
        <w:rPr>
          <w:rFonts w:ascii="Arial" w:hAnsi="Arial" w:cs="Arial"/>
          <w:bCs/>
          <w:sz w:val="20"/>
          <w:szCs w:val="20"/>
        </w:rPr>
        <w:t>Clinical response was</w:t>
      </w:r>
      <w:r w:rsidR="002826FF">
        <w:rPr>
          <w:rFonts w:ascii="Arial" w:hAnsi="Arial" w:cs="Arial"/>
          <w:bCs/>
          <w:sz w:val="20"/>
          <w:szCs w:val="20"/>
        </w:rPr>
        <w:t xml:space="preserve"> defined as</w:t>
      </w:r>
      <w:r w:rsidR="008D7146" w:rsidRPr="008D7146">
        <w:rPr>
          <w:rFonts w:ascii="Arial" w:hAnsi="Arial" w:cs="Arial"/>
          <w:bCs/>
          <w:sz w:val="20"/>
          <w:szCs w:val="20"/>
        </w:rPr>
        <w:t xml:space="preserve"> the absence of CDI recurrence </w:t>
      </w:r>
      <w:r w:rsidR="00FE19F5">
        <w:rPr>
          <w:rFonts w:ascii="Arial" w:hAnsi="Arial" w:cs="Arial"/>
          <w:bCs/>
          <w:sz w:val="20"/>
          <w:szCs w:val="20"/>
        </w:rPr>
        <w:t>(</w:t>
      </w:r>
      <w:r w:rsidR="00FE19F5" w:rsidRPr="00FE19F5">
        <w:rPr>
          <w:rFonts w:ascii="Arial" w:hAnsi="Arial" w:cs="Arial"/>
          <w:bCs/>
          <w:sz w:val="20"/>
          <w:szCs w:val="20"/>
        </w:rPr>
        <w:t xml:space="preserve">presence of CDI diarrhea and a positive </w:t>
      </w:r>
      <w:r w:rsidR="00FE19F5" w:rsidRPr="00FE19F5">
        <w:rPr>
          <w:rFonts w:ascii="Arial" w:hAnsi="Arial" w:cs="Arial"/>
          <w:bCs/>
          <w:i/>
          <w:sz w:val="20"/>
          <w:szCs w:val="20"/>
        </w:rPr>
        <w:t>C difficile</w:t>
      </w:r>
      <w:r w:rsidR="00FE19F5" w:rsidRPr="00FE19F5">
        <w:rPr>
          <w:rFonts w:ascii="Arial" w:hAnsi="Arial" w:cs="Arial"/>
          <w:bCs/>
          <w:sz w:val="20"/>
          <w:szCs w:val="20"/>
        </w:rPr>
        <w:t xml:space="preserve"> toxin test</w:t>
      </w:r>
      <w:r w:rsidR="00FE19F5">
        <w:rPr>
          <w:rFonts w:ascii="Arial" w:hAnsi="Arial" w:cs="Arial"/>
          <w:bCs/>
          <w:sz w:val="20"/>
          <w:szCs w:val="20"/>
        </w:rPr>
        <w:t>)</w:t>
      </w:r>
      <w:r w:rsidR="00FE19F5" w:rsidRPr="00FE19F5">
        <w:rPr>
          <w:rFonts w:ascii="Arial" w:hAnsi="Arial" w:cs="Arial"/>
          <w:bCs/>
          <w:sz w:val="20"/>
          <w:szCs w:val="20"/>
        </w:rPr>
        <w:t xml:space="preserve"> </w:t>
      </w:r>
      <w:r w:rsidR="008D7146" w:rsidRPr="008D7146">
        <w:rPr>
          <w:rFonts w:ascii="Arial" w:hAnsi="Arial" w:cs="Arial"/>
          <w:bCs/>
          <w:sz w:val="20"/>
          <w:szCs w:val="20"/>
        </w:rPr>
        <w:t xml:space="preserve">at eight weeks after treatment. </w:t>
      </w:r>
      <w:r w:rsidR="00874EF3" w:rsidRPr="008D7146">
        <w:rPr>
          <w:rFonts w:ascii="Arial" w:hAnsi="Arial" w:cs="Arial"/>
          <w:bCs/>
          <w:sz w:val="20"/>
          <w:szCs w:val="20"/>
        </w:rPr>
        <w:t>Par</w:t>
      </w:r>
      <w:r w:rsidR="00874EF3" w:rsidRPr="008D7146">
        <w:rPr>
          <w:rFonts w:ascii="Arial" w:hAnsi="Arial" w:cs="Arial"/>
          <w:color w:val="000000" w:themeColor="text1"/>
          <w:sz w:val="20"/>
          <w:szCs w:val="20"/>
        </w:rPr>
        <w:t>ticipants voluntarily submitted stool samples prior to blinded study treatment (</w:t>
      </w:r>
      <w:r w:rsidR="00FE19F5">
        <w:rPr>
          <w:rFonts w:ascii="Arial" w:hAnsi="Arial" w:cs="Arial"/>
          <w:color w:val="000000" w:themeColor="text1"/>
          <w:sz w:val="20"/>
          <w:szCs w:val="20"/>
        </w:rPr>
        <w:t>BL</w:t>
      </w:r>
      <w:r w:rsidR="00874EF3" w:rsidRPr="008D7146">
        <w:rPr>
          <w:rFonts w:ascii="Arial" w:hAnsi="Arial" w:cs="Arial"/>
          <w:color w:val="000000" w:themeColor="text1"/>
          <w:sz w:val="20"/>
          <w:szCs w:val="20"/>
        </w:rPr>
        <w:t>), 1, 4 and 8 weeks</w:t>
      </w:r>
      <w:r w:rsidR="00FE19F5">
        <w:rPr>
          <w:rFonts w:ascii="Arial" w:hAnsi="Arial" w:cs="Arial"/>
          <w:color w:val="000000" w:themeColor="text1"/>
          <w:sz w:val="20"/>
          <w:szCs w:val="20"/>
        </w:rPr>
        <w:t xml:space="preserve"> and up to 24 months </w:t>
      </w:r>
      <w:r w:rsidR="00874EF3" w:rsidRPr="008D7146">
        <w:rPr>
          <w:rFonts w:ascii="Arial" w:hAnsi="Arial" w:cs="Arial"/>
          <w:color w:val="000000" w:themeColor="text1"/>
          <w:sz w:val="20"/>
          <w:szCs w:val="20"/>
        </w:rPr>
        <w:t>after study treatment. Samples were extracted and sequenced using shallow shotgun methods. O</w:t>
      </w:r>
      <w:r w:rsidR="00874EF3" w:rsidRPr="008D714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perational taxonomic unit (OTU) data were used to calculate relative taxonomic abundance, alpha diversity, and the MHI</w:t>
      </w:r>
      <w:r w:rsidR="00231CB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-A</w:t>
      </w:r>
      <w:r w:rsidR="00CE2F27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—a microbiome biomarker of post-antibiotic dysbiosis and restoration</w:t>
      </w:r>
      <w:r w:rsidR="00231CB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. </w:t>
      </w:r>
      <w:r w:rsidR="00C407B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A l</w:t>
      </w:r>
      <w:r w:rsidR="00231CB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iquid chromatography mass spectrometry </w:t>
      </w:r>
      <w:r w:rsidR="00C407B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method </w:t>
      </w:r>
      <w:r w:rsidR="00231CB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was used to </w:t>
      </w:r>
      <w:r w:rsidR="00BA5A3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quantify 33 bile </w:t>
      </w:r>
      <w:r w:rsidR="00C407B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acids for samples</w:t>
      </w:r>
      <w:r w:rsidR="00AC184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from PUNCH CD2 and CD3.</w:t>
      </w:r>
    </w:p>
    <w:p w14:paraId="7A181735" w14:textId="5A78FAAD" w:rsidR="00F43DB1" w:rsidRDefault="0045204A" w:rsidP="00F43DB1">
      <w:pPr>
        <w:pStyle w:val="m1558027342881162076msolistparagraph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0"/>
          <w:szCs w:val="20"/>
        </w:rPr>
      </w:pPr>
      <w:r w:rsidRPr="008D7146">
        <w:rPr>
          <w:rFonts w:ascii="Arial" w:hAnsi="Arial" w:cs="Arial"/>
          <w:b/>
          <w:bCs/>
          <w:sz w:val="20"/>
          <w:szCs w:val="20"/>
        </w:rPr>
        <w:t>RESULTS</w:t>
      </w:r>
      <w:r w:rsidRPr="008D7146">
        <w:rPr>
          <w:rFonts w:ascii="Arial" w:hAnsi="Arial" w:cs="Arial"/>
          <w:b/>
          <w:bCs/>
          <w:sz w:val="20"/>
          <w:szCs w:val="20"/>
        </w:rPr>
        <w:br/>
      </w:r>
      <w:r w:rsidR="00874EF3" w:rsidRPr="008D7146">
        <w:rPr>
          <w:rFonts w:ascii="Arial" w:hAnsi="Arial" w:cs="Arial"/>
          <w:sz w:val="20"/>
          <w:szCs w:val="20"/>
        </w:rPr>
        <w:t xml:space="preserve">Relative to baseline, microbiome diversity (Mann-Whitney) and microbiome composition (Generalized Wald Test) shifted significantly </w:t>
      </w:r>
      <w:r w:rsidR="00945442">
        <w:rPr>
          <w:rFonts w:ascii="Arial" w:hAnsi="Arial" w:cs="Arial"/>
          <w:sz w:val="20"/>
          <w:szCs w:val="20"/>
        </w:rPr>
        <w:t xml:space="preserve">in treatment responders </w:t>
      </w:r>
      <w:r w:rsidR="00865623">
        <w:rPr>
          <w:rFonts w:ascii="Arial" w:hAnsi="Arial" w:cs="Arial"/>
          <w:sz w:val="20"/>
          <w:szCs w:val="20"/>
        </w:rPr>
        <w:t>for</w:t>
      </w:r>
      <w:r w:rsidR="00945442">
        <w:rPr>
          <w:rFonts w:ascii="Arial" w:hAnsi="Arial" w:cs="Arial"/>
          <w:sz w:val="20"/>
          <w:szCs w:val="20"/>
        </w:rPr>
        <w:t xml:space="preserve"> all three trials, </w:t>
      </w:r>
      <w:r w:rsidR="009603C9">
        <w:rPr>
          <w:rFonts w:ascii="Arial" w:hAnsi="Arial" w:cs="Arial"/>
          <w:sz w:val="20"/>
          <w:szCs w:val="20"/>
        </w:rPr>
        <w:t>with greater shifts among</w:t>
      </w:r>
      <w:r w:rsidR="00945442">
        <w:rPr>
          <w:rFonts w:ascii="Arial" w:hAnsi="Arial" w:cs="Arial"/>
          <w:sz w:val="20"/>
          <w:szCs w:val="20"/>
        </w:rPr>
        <w:t xml:space="preserve"> RBX2660-tr</w:t>
      </w:r>
      <w:r w:rsidR="009603C9">
        <w:rPr>
          <w:rFonts w:ascii="Arial" w:hAnsi="Arial" w:cs="Arial"/>
          <w:sz w:val="20"/>
          <w:szCs w:val="20"/>
        </w:rPr>
        <w:t>e</w:t>
      </w:r>
      <w:r w:rsidR="00945442">
        <w:rPr>
          <w:rFonts w:ascii="Arial" w:hAnsi="Arial" w:cs="Arial"/>
          <w:sz w:val="20"/>
          <w:szCs w:val="20"/>
        </w:rPr>
        <w:t xml:space="preserve">ated </w:t>
      </w:r>
      <w:r w:rsidR="00066F26">
        <w:rPr>
          <w:rFonts w:ascii="Arial" w:hAnsi="Arial" w:cs="Arial"/>
          <w:sz w:val="20"/>
          <w:szCs w:val="20"/>
        </w:rPr>
        <w:t>than placebo-treated responders</w:t>
      </w:r>
      <w:r w:rsidR="003D1F32">
        <w:rPr>
          <w:rFonts w:ascii="Arial" w:hAnsi="Arial" w:cs="Arial"/>
          <w:sz w:val="20"/>
          <w:szCs w:val="20"/>
        </w:rPr>
        <w:t>—</w:t>
      </w:r>
      <w:proofErr w:type="spellStart"/>
      <w:r w:rsidR="008D7146" w:rsidRPr="008D714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Bacteroidia</w:t>
      </w:r>
      <w:proofErr w:type="spellEnd"/>
      <w:r w:rsidR="003D1F32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D7146" w:rsidRPr="008D714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and Clostridia </w:t>
      </w:r>
      <w:r w:rsidR="00CE2F27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were increased and </w:t>
      </w:r>
      <w:r w:rsidR="008D7146" w:rsidRPr="008D714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Gammaproteobacteria and Bacilli</w:t>
      </w:r>
      <w:r w:rsidR="00066F2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E2F27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decreased </w:t>
      </w:r>
      <w:r w:rsidR="008F0ECE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after treatment </w:t>
      </w:r>
      <w:r w:rsidR="00066F2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(Fig 1A)</w:t>
      </w:r>
      <w:r w:rsidR="00F43DB1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BE5259" w:rsidRP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In all three trials, MHI-A was restored from dysbiotic to healthy levels concurrent with clinical response</w:t>
      </w:r>
      <w:r w:rsidR="004B0D2B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(Fig 1B)</w:t>
      </w:r>
      <w:r w:rsidR="00BE5259" w:rsidRP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, less so among placebo responders. </w:t>
      </w:r>
      <w:r w:rsidR="00A1139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Finally, i</w:t>
      </w:r>
      <w:r w:rsidR="004B3898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n</w:t>
      </w:r>
      <w:r w:rsid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PUNCH CD2 and CD3</w:t>
      </w:r>
      <w:r w:rsidR="002826FF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83539" w:rsidRP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bile acid compositions were restored from primary predominance before to secondary bile acid predominance after treatment</w:t>
      </w:r>
      <w:r w:rsidR="004B0D2B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(Fig 1C)</w:t>
      </w:r>
      <w:r w:rsidR="00583539" w:rsidRP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—a composition </w:t>
      </w:r>
      <w:r w:rsidR="00A1139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more resistant to </w:t>
      </w:r>
      <w:r w:rsidR="00A1139D" w:rsidRPr="00A1139D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shd w:val="clear" w:color="auto" w:fill="FFFFFF"/>
        </w:rPr>
        <w:t>C. difficile</w:t>
      </w:r>
      <w:r w:rsidR="00A1139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colonization and infection</w:t>
      </w:r>
      <w:r w:rsidR="00583539" w:rsidRPr="00583539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93F462A" w14:textId="1B93AE11" w:rsidR="00F43DB1" w:rsidRDefault="0045204A" w:rsidP="00F43DB1">
      <w:pPr>
        <w:pStyle w:val="m1558027342881162076msolistparagraph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0"/>
          <w:szCs w:val="20"/>
        </w:rPr>
      </w:pPr>
      <w:r w:rsidRPr="008D7146">
        <w:rPr>
          <w:rFonts w:ascii="Arial" w:hAnsi="Arial" w:cs="Arial"/>
          <w:b/>
          <w:bCs/>
          <w:sz w:val="20"/>
          <w:szCs w:val="20"/>
        </w:rPr>
        <w:t>CONCLUSION</w:t>
      </w:r>
      <w:r w:rsidRPr="008D7146">
        <w:rPr>
          <w:rFonts w:ascii="Arial" w:hAnsi="Arial" w:cs="Arial"/>
          <w:b/>
          <w:bCs/>
          <w:sz w:val="20"/>
          <w:szCs w:val="20"/>
        </w:rPr>
        <w:br/>
      </w:r>
      <w:r w:rsidR="00F41C67" w:rsidRPr="008D7146">
        <w:rPr>
          <w:rFonts w:ascii="Arial" w:hAnsi="Arial" w:cs="Arial"/>
          <w:bCs/>
          <w:sz w:val="20"/>
          <w:szCs w:val="20"/>
        </w:rPr>
        <w:t xml:space="preserve">Collectively, these results </w:t>
      </w:r>
      <w:r w:rsidR="003D1F32">
        <w:rPr>
          <w:rFonts w:ascii="Arial" w:hAnsi="Arial" w:cs="Arial"/>
          <w:bCs/>
          <w:sz w:val="20"/>
          <w:szCs w:val="20"/>
        </w:rPr>
        <w:t xml:space="preserve">indicate </w:t>
      </w:r>
      <w:r w:rsidR="008F0ECE">
        <w:rPr>
          <w:rFonts w:ascii="Arial" w:hAnsi="Arial" w:cs="Arial"/>
          <w:bCs/>
          <w:sz w:val="20"/>
          <w:szCs w:val="20"/>
        </w:rPr>
        <w:t xml:space="preserve">a totality of evidence </w:t>
      </w:r>
      <w:r w:rsidR="00C56940">
        <w:rPr>
          <w:rFonts w:ascii="Arial" w:hAnsi="Arial" w:cs="Arial"/>
          <w:bCs/>
          <w:sz w:val="20"/>
          <w:szCs w:val="20"/>
        </w:rPr>
        <w:t>that RBX2660 restored microbiome and bile acid compositions concurrent with clinical response</w:t>
      </w:r>
      <w:r w:rsidR="006650C4">
        <w:rPr>
          <w:rFonts w:ascii="Arial" w:hAnsi="Arial" w:cs="Arial"/>
          <w:bCs/>
          <w:sz w:val="20"/>
          <w:szCs w:val="20"/>
        </w:rPr>
        <w:t xml:space="preserve">, and the restorative changes are characteristic of shifts from a </w:t>
      </w:r>
      <w:r w:rsidR="00F43DB1" w:rsidRPr="00F43DB1">
        <w:rPr>
          <w:rFonts w:ascii="Arial" w:hAnsi="Arial" w:cs="Arial"/>
          <w:color w:val="222222"/>
          <w:sz w:val="20"/>
          <w:szCs w:val="20"/>
        </w:rPr>
        <w:t>post-antibiotic dysbiosis</w:t>
      </w:r>
      <w:r w:rsidR="006650C4">
        <w:rPr>
          <w:rFonts w:ascii="Arial" w:hAnsi="Arial" w:cs="Arial"/>
          <w:color w:val="222222"/>
          <w:sz w:val="20"/>
          <w:szCs w:val="20"/>
        </w:rPr>
        <w:t xml:space="preserve"> state to a healthier state.</w:t>
      </w:r>
    </w:p>
    <w:p w14:paraId="5B73811D" w14:textId="77777777" w:rsidR="00933957" w:rsidRDefault="00933957" w:rsidP="00F43DB1">
      <w:pPr>
        <w:pStyle w:val="m1558027342881162076msolistparagraph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0"/>
          <w:szCs w:val="20"/>
        </w:rPr>
      </w:pPr>
    </w:p>
    <w:p w14:paraId="570347D5" w14:textId="77777777" w:rsidR="00717743" w:rsidRDefault="00717743" w:rsidP="001A723E">
      <w:pPr>
        <w:pStyle w:val="m1558027342881162076msolistparagraph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549D5123" w14:textId="77777777" w:rsidR="00717743" w:rsidRDefault="00717743" w:rsidP="001A723E">
      <w:pPr>
        <w:pStyle w:val="m1558027342881162076msolistparagraph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4E3DB42" w14:textId="77777777" w:rsidR="00717743" w:rsidRDefault="00717743" w:rsidP="001A723E">
      <w:pPr>
        <w:pStyle w:val="m1558027342881162076msolistparagraph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92D16CA" w14:textId="323E8E3F" w:rsidR="001A723E" w:rsidRPr="009D0A6C" w:rsidRDefault="001A723E" w:rsidP="001A723E">
      <w:pPr>
        <w:pStyle w:val="m1558027342881162076mso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A723E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Figure 1</w:t>
      </w:r>
      <w:r w:rsidRPr="001A723E"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 w:rsidRPr="009D0A6C">
        <w:rPr>
          <w:rFonts w:ascii="Arial" w:hAnsi="Arial" w:cs="Arial"/>
          <w:color w:val="222222"/>
          <w:sz w:val="20"/>
          <w:szCs w:val="20"/>
        </w:rPr>
        <w:t>Microbiome (</w:t>
      </w:r>
      <w:r w:rsidRPr="009D0A6C">
        <w:rPr>
          <w:rFonts w:ascii="Arial" w:hAnsi="Arial" w:cs="Arial"/>
          <w:bCs/>
          <w:color w:val="222222"/>
          <w:sz w:val="20"/>
          <w:szCs w:val="20"/>
        </w:rPr>
        <w:t>A</w:t>
      </w:r>
      <w:r w:rsidRPr="009D0A6C">
        <w:rPr>
          <w:rFonts w:ascii="Arial" w:hAnsi="Arial" w:cs="Arial"/>
          <w:color w:val="222222"/>
          <w:sz w:val="20"/>
          <w:szCs w:val="20"/>
        </w:rPr>
        <w:t>), MHI-A (</w:t>
      </w:r>
      <w:r w:rsidRPr="009D0A6C">
        <w:rPr>
          <w:rFonts w:ascii="Arial" w:hAnsi="Arial" w:cs="Arial"/>
          <w:bCs/>
          <w:color w:val="222222"/>
          <w:sz w:val="20"/>
          <w:szCs w:val="20"/>
        </w:rPr>
        <w:t>B</w:t>
      </w:r>
      <w:r w:rsidRPr="009D0A6C">
        <w:rPr>
          <w:rFonts w:ascii="Arial" w:hAnsi="Arial" w:cs="Arial"/>
          <w:color w:val="222222"/>
          <w:sz w:val="20"/>
          <w:szCs w:val="20"/>
        </w:rPr>
        <w:t>), and bile acid composition (</w:t>
      </w:r>
      <w:r w:rsidRPr="009D0A6C">
        <w:rPr>
          <w:rFonts w:ascii="Arial" w:hAnsi="Arial" w:cs="Arial"/>
          <w:bCs/>
          <w:color w:val="222222"/>
          <w:sz w:val="20"/>
          <w:szCs w:val="20"/>
        </w:rPr>
        <w:t>C</w:t>
      </w:r>
      <w:r w:rsidRPr="009D0A6C">
        <w:rPr>
          <w:rFonts w:ascii="Arial" w:hAnsi="Arial" w:cs="Arial"/>
          <w:color w:val="222222"/>
          <w:sz w:val="20"/>
          <w:szCs w:val="20"/>
        </w:rPr>
        <w:t xml:space="preserve">) changes among PUNCH CD2 (2), PUNCH OL (OL), PUNCH CD3 (3). Included </w:t>
      </w:r>
      <w:r>
        <w:rPr>
          <w:rFonts w:ascii="Arial" w:hAnsi="Arial" w:cs="Arial"/>
          <w:color w:val="222222"/>
          <w:sz w:val="20"/>
          <w:szCs w:val="20"/>
        </w:rPr>
        <w:t>are prior to</w:t>
      </w:r>
      <w:r w:rsidRPr="009D0A6C">
        <w:rPr>
          <w:rFonts w:ascii="Arial" w:hAnsi="Arial" w:cs="Arial"/>
          <w:color w:val="222222"/>
          <w:sz w:val="20"/>
          <w:szCs w:val="20"/>
        </w:rPr>
        <w:t xml:space="preserve"> investigational treatment (BL), one, four, and eight weeks after investigational treatment (1W, 4W, 8W).</w:t>
      </w:r>
    </w:p>
    <w:p w14:paraId="3C6A7280" w14:textId="0D1B7647" w:rsidR="00F41C67" w:rsidRPr="008D7146" w:rsidRDefault="00F41C67" w:rsidP="008D7146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14:paraId="5AB76C6B" w14:textId="77777777" w:rsidR="00F41C67" w:rsidRPr="00925CD4" w:rsidRDefault="00F41C67" w:rsidP="00F41C67">
      <w:pPr>
        <w:pStyle w:val="Default"/>
        <w:rPr>
          <w:rFonts w:ascii="Arial" w:hAnsi="Arial" w:cs="Arial"/>
          <w:sz w:val="20"/>
          <w:szCs w:val="20"/>
        </w:rPr>
      </w:pPr>
    </w:p>
    <w:p w14:paraId="49C72F7E" w14:textId="77777777" w:rsidR="0045204A" w:rsidRPr="00DA2F64" w:rsidRDefault="00933957" w:rsidP="009D0A6C">
      <w:pPr>
        <w:spacing w:after="0" w:line="240" w:lineRule="auto"/>
        <w:jc w:val="center"/>
        <w:rPr>
          <w:rFonts w:ascii="Open Sans" w:eastAsia="Times New Roman" w:hAnsi="Open Sans" w:cs="Open Sans"/>
          <w:color w:val="1F1F1F"/>
          <w:sz w:val="23"/>
          <w:szCs w:val="23"/>
          <w:shd w:val="clear" w:color="auto" w:fill="FFFFFF"/>
          <w:lang w:bidi="ar-SA"/>
        </w:rPr>
      </w:pPr>
      <w:r>
        <w:rPr>
          <w:rFonts w:ascii="Open Sans" w:eastAsia="Times New Roman" w:hAnsi="Open Sans" w:cs="Open Sans"/>
          <w:noProof/>
          <w:color w:val="1F1F1F"/>
          <w:sz w:val="23"/>
          <w:szCs w:val="23"/>
          <w:shd w:val="clear" w:color="auto" w:fill="FFFFFF"/>
          <w:lang w:bidi="ar-SA"/>
        </w:rPr>
        <w:drawing>
          <wp:inline distT="0" distB="0" distL="0" distR="0" wp14:anchorId="42B6006E" wp14:editId="5B3B5AD2">
            <wp:extent cx="3926205" cy="538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5E0D1" w14:textId="77777777" w:rsidR="00B06EB7" w:rsidRDefault="00B06EB7" w:rsidP="00B06EB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</w:pPr>
    </w:p>
    <w:p w14:paraId="3A3EAF48" w14:textId="646B257D" w:rsidR="00B06EB7" w:rsidRPr="006E1FA4" w:rsidRDefault="00B06EB7" w:rsidP="00B06EB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</w:pPr>
      <w:r w:rsidRPr="006E1FA4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  <w:t xml:space="preserve">Current Character Count of 2900 allowed (including spaces):  </w:t>
      </w:r>
      <w:r w:rsidR="009D0A6C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  <w:t>2889</w:t>
      </w:r>
    </w:p>
    <w:p w14:paraId="11D732A7" w14:textId="77777777" w:rsidR="00B06EB7" w:rsidRPr="006E1FA4" w:rsidRDefault="00B06EB7" w:rsidP="00B06EB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0"/>
          <w:szCs w:val="20"/>
          <w:lang w:bidi="ar-SA"/>
        </w:rPr>
      </w:pPr>
      <w:r w:rsidRPr="006E1FA4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  <w:t xml:space="preserve">Up to 2 figures allowed </w:t>
      </w:r>
      <w:r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  <w:t xml:space="preserve">(but figure legend </w:t>
      </w:r>
      <w:r w:rsidR="008D7146" w:rsidRPr="008D7146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u w:val="single"/>
          <w:lang w:bidi="ar-SA"/>
        </w:rPr>
        <w:t>is</w:t>
      </w:r>
      <w:r w:rsidR="008D7146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  <w:t xml:space="preserve"> </w:t>
      </w:r>
      <w:r w:rsidRPr="006E1FA4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bidi="ar-SA"/>
        </w:rPr>
        <w:t>included in character count)</w:t>
      </w:r>
    </w:p>
    <w:p w14:paraId="07BEEDD0" w14:textId="77777777" w:rsidR="00F41C67" w:rsidRPr="00B06EB7" w:rsidRDefault="00F41C67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sectPr w:rsidR="00F41C67" w:rsidRPr="00B06EB7" w:rsidSect="00BA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8E8D7" w14:textId="77777777" w:rsidR="00A831E7" w:rsidRDefault="00A831E7" w:rsidP="00D4650B">
      <w:pPr>
        <w:spacing w:after="0" w:line="240" w:lineRule="auto"/>
      </w:pPr>
      <w:r>
        <w:separator/>
      </w:r>
    </w:p>
  </w:endnote>
  <w:endnote w:type="continuationSeparator" w:id="0">
    <w:p w14:paraId="4DD1ADF3" w14:textId="77777777" w:rsidR="00A831E7" w:rsidRDefault="00A831E7" w:rsidP="00D4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22C1" w14:textId="77777777" w:rsidR="00A831E7" w:rsidRDefault="00A831E7" w:rsidP="00D4650B">
      <w:pPr>
        <w:spacing w:after="0" w:line="240" w:lineRule="auto"/>
      </w:pPr>
      <w:r>
        <w:separator/>
      </w:r>
    </w:p>
  </w:footnote>
  <w:footnote w:type="continuationSeparator" w:id="0">
    <w:p w14:paraId="6EE8F71A" w14:textId="77777777" w:rsidR="00A831E7" w:rsidRDefault="00A831E7" w:rsidP="00D4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1589"/>
    <w:multiLevelType w:val="multilevel"/>
    <w:tmpl w:val="B17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E5C2F"/>
    <w:multiLevelType w:val="hybridMultilevel"/>
    <w:tmpl w:val="745E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E2E"/>
    <w:multiLevelType w:val="multilevel"/>
    <w:tmpl w:val="FC7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O343V491R781O574"/>
    <w:docVar w:name="paperpile-doc-name" w:val="DDW2022_Abstract_Restoration Across Trials_FINAL.docx"/>
  </w:docVars>
  <w:rsids>
    <w:rsidRoot w:val="00725C50"/>
    <w:rsid w:val="00011E1A"/>
    <w:rsid w:val="00020E98"/>
    <w:rsid w:val="00060126"/>
    <w:rsid w:val="00066F26"/>
    <w:rsid w:val="00086F57"/>
    <w:rsid w:val="000933D0"/>
    <w:rsid w:val="000A3B38"/>
    <w:rsid w:val="000B5598"/>
    <w:rsid w:val="000F25E5"/>
    <w:rsid w:val="000F6CDD"/>
    <w:rsid w:val="00105D10"/>
    <w:rsid w:val="00111A22"/>
    <w:rsid w:val="00150A14"/>
    <w:rsid w:val="0016390B"/>
    <w:rsid w:val="00167C2F"/>
    <w:rsid w:val="00196E13"/>
    <w:rsid w:val="001A395B"/>
    <w:rsid w:val="001A723E"/>
    <w:rsid w:val="001D0040"/>
    <w:rsid w:val="001D7060"/>
    <w:rsid w:val="001E3E13"/>
    <w:rsid w:val="00200964"/>
    <w:rsid w:val="00200F73"/>
    <w:rsid w:val="00224A5F"/>
    <w:rsid w:val="00231CBE"/>
    <w:rsid w:val="00250D40"/>
    <w:rsid w:val="00256C55"/>
    <w:rsid w:val="00272AC7"/>
    <w:rsid w:val="002826FF"/>
    <w:rsid w:val="0029627F"/>
    <w:rsid w:val="002A412F"/>
    <w:rsid w:val="002B62D3"/>
    <w:rsid w:val="002D7123"/>
    <w:rsid w:val="002F0570"/>
    <w:rsid w:val="00307914"/>
    <w:rsid w:val="0032710F"/>
    <w:rsid w:val="00332E8C"/>
    <w:rsid w:val="00385DE9"/>
    <w:rsid w:val="0039157B"/>
    <w:rsid w:val="003A28DC"/>
    <w:rsid w:val="003A53D6"/>
    <w:rsid w:val="003B2F84"/>
    <w:rsid w:val="003D1F32"/>
    <w:rsid w:val="003E7D41"/>
    <w:rsid w:val="003F1355"/>
    <w:rsid w:val="00407C26"/>
    <w:rsid w:val="00415297"/>
    <w:rsid w:val="0042701A"/>
    <w:rsid w:val="00434AB2"/>
    <w:rsid w:val="0045204A"/>
    <w:rsid w:val="00454B44"/>
    <w:rsid w:val="00455CAF"/>
    <w:rsid w:val="0046613A"/>
    <w:rsid w:val="00487D64"/>
    <w:rsid w:val="004934D7"/>
    <w:rsid w:val="004A2E84"/>
    <w:rsid w:val="004A5D2B"/>
    <w:rsid w:val="004A77E4"/>
    <w:rsid w:val="004B0D2B"/>
    <w:rsid w:val="004B3898"/>
    <w:rsid w:val="004E1421"/>
    <w:rsid w:val="00515494"/>
    <w:rsid w:val="00577B9F"/>
    <w:rsid w:val="00583539"/>
    <w:rsid w:val="005A0234"/>
    <w:rsid w:val="005A64C2"/>
    <w:rsid w:val="005A6C4F"/>
    <w:rsid w:val="005F3B44"/>
    <w:rsid w:val="00620FAD"/>
    <w:rsid w:val="006333DF"/>
    <w:rsid w:val="0064761A"/>
    <w:rsid w:val="00651821"/>
    <w:rsid w:val="006624A4"/>
    <w:rsid w:val="006650C4"/>
    <w:rsid w:val="00671F17"/>
    <w:rsid w:val="0067732B"/>
    <w:rsid w:val="00677D70"/>
    <w:rsid w:val="006A0621"/>
    <w:rsid w:val="006A27F3"/>
    <w:rsid w:val="006A4E54"/>
    <w:rsid w:val="006E1FA4"/>
    <w:rsid w:val="006F66D8"/>
    <w:rsid w:val="00700E03"/>
    <w:rsid w:val="00704120"/>
    <w:rsid w:val="00706AA6"/>
    <w:rsid w:val="00717743"/>
    <w:rsid w:val="00720F18"/>
    <w:rsid w:val="00725C50"/>
    <w:rsid w:val="00726629"/>
    <w:rsid w:val="00727E11"/>
    <w:rsid w:val="00732256"/>
    <w:rsid w:val="00747041"/>
    <w:rsid w:val="00747A5A"/>
    <w:rsid w:val="00761108"/>
    <w:rsid w:val="00763E64"/>
    <w:rsid w:val="00766B5B"/>
    <w:rsid w:val="007707EF"/>
    <w:rsid w:val="00773C6E"/>
    <w:rsid w:val="00791413"/>
    <w:rsid w:val="007970FD"/>
    <w:rsid w:val="007B73DF"/>
    <w:rsid w:val="007E031C"/>
    <w:rsid w:val="007F7FA8"/>
    <w:rsid w:val="0081165A"/>
    <w:rsid w:val="00827F58"/>
    <w:rsid w:val="008559FD"/>
    <w:rsid w:val="00862DF6"/>
    <w:rsid w:val="008634BC"/>
    <w:rsid w:val="00865623"/>
    <w:rsid w:val="00874679"/>
    <w:rsid w:val="00874EF3"/>
    <w:rsid w:val="00882E7E"/>
    <w:rsid w:val="00883EB7"/>
    <w:rsid w:val="008A6C71"/>
    <w:rsid w:val="008B5CFB"/>
    <w:rsid w:val="008B76C0"/>
    <w:rsid w:val="008D7146"/>
    <w:rsid w:val="008D7E50"/>
    <w:rsid w:val="008F0ECE"/>
    <w:rsid w:val="00911195"/>
    <w:rsid w:val="00933957"/>
    <w:rsid w:val="009339C6"/>
    <w:rsid w:val="00945442"/>
    <w:rsid w:val="009603C9"/>
    <w:rsid w:val="009A0010"/>
    <w:rsid w:val="009A4580"/>
    <w:rsid w:val="009C59F8"/>
    <w:rsid w:val="009C5E7A"/>
    <w:rsid w:val="009D0A6C"/>
    <w:rsid w:val="009E4C61"/>
    <w:rsid w:val="00A1139D"/>
    <w:rsid w:val="00A1368A"/>
    <w:rsid w:val="00A440FC"/>
    <w:rsid w:val="00A61624"/>
    <w:rsid w:val="00A61E4C"/>
    <w:rsid w:val="00A65AC3"/>
    <w:rsid w:val="00A831E7"/>
    <w:rsid w:val="00A92989"/>
    <w:rsid w:val="00A95025"/>
    <w:rsid w:val="00AB2ECD"/>
    <w:rsid w:val="00AC184A"/>
    <w:rsid w:val="00AC2BDC"/>
    <w:rsid w:val="00AD1207"/>
    <w:rsid w:val="00AE40FB"/>
    <w:rsid w:val="00AE6BED"/>
    <w:rsid w:val="00AF3E64"/>
    <w:rsid w:val="00B016A7"/>
    <w:rsid w:val="00B06EB7"/>
    <w:rsid w:val="00B0737E"/>
    <w:rsid w:val="00B10584"/>
    <w:rsid w:val="00B1741D"/>
    <w:rsid w:val="00B45B67"/>
    <w:rsid w:val="00B46731"/>
    <w:rsid w:val="00B52847"/>
    <w:rsid w:val="00B52BEE"/>
    <w:rsid w:val="00B55A7F"/>
    <w:rsid w:val="00B67DDC"/>
    <w:rsid w:val="00BA4E12"/>
    <w:rsid w:val="00BA5A38"/>
    <w:rsid w:val="00BD2BD5"/>
    <w:rsid w:val="00BE08B4"/>
    <w:rsid w:val="00BE5259"/>
    <w:rsid w:val="00BF28DA"/>
    <w:rsid w:val="00BF3723"/>
    <w:rsid w:val="00BF42A8"/>
    <w:rsid w:val="00C1338B"/>
    <w:rsid w:val="00C24761"/>
    <w:rsid w:val="00C407BC"/>
    <w:rsid w:val="00C56940"/>
    <w:rsid w:val="00C674D6"/>
    <w:rsid w:val="00C714C0"/>
    <w:rsid w:val="00C9461B"/>
    <w:rsid w:val="00CA4DFC"/>
    <w:rsid w:val="00CC224F"/>
    <w:rsid w:val="00CD0A32"/>
    <w:rsid w:val="00CD53C6"/>
    <w:rsid w:val="00CE2F27"/>
    <w:rsid w:val="00CE4410"/>
    <w:rsid w:val="00D15BF4"/>
    <w:rsid w:val="00D4650B"/>
    <w:rsid w:val="00D54084"/>
    <w:rsid w:val="00D6161C"/>
    <w:rsid w:val="00D66EF1"/>
    <w:rsid w:val="00D87CBC"/>
    <w:rsid w:val="00DA0872"/>
    <w:rsid w:val="00DA2F64"/>
    <w:rsid w:val="00DB1675"/>
    <w:rsid w:val="00DC220E"/>
    <w:rsid w:val="00DC5530"/>
    <w:rsid w:val="00DC68DB"/>
    <w:rsid w:val="00DC6929"/>
    <w:rsid w:val="00DF2BC9"/>
    <w:rsid w:val="00DF48B3"/>
    <w:rsid w:val="00E005F2"/>
    <w:rsid w:val="00E333E0"/>
    <w:rsid w:val="00E356D8"/>
    <w:rsid w:val="00E42CA8"/>
    <w:rsid w:val="00E600D6"/>
    <w:rsid w:val="00E81D66"/>
    <w:rsid w:val="00E9689A"/>
    <w:rsid w:val="00EA5462"/>
    <w:rsid w:val="00EC29E9"/>
    <w:rsid w:val="00ED6EC5"/>
    <w:rsid w:val="00EE10BD"/>
    <w:rsid w:val="00EE5516"/>
    <w:rsid w:val="00F03195"/>
    <w:rsid w:val="00F152B8"/>
    <w:rsid w:val="00F37EE8"/>
    <w:rsid w:val="00F41C67"/>
    <w:rsid w:val="00F43DB1"/>
    <w:rsid w:val="00F447FE"/>
    <w:rsid w:val="00F60156"/>
    <w:rsid w:val="00F60FEB"/>
    <w:rsid w:val="00FA4C71"/>
    <w:rsid w:val="00FC5601"/>
    <w:rsid w:val="00FD2706"/>
    <w:rsid w:val="00FE19F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82983"/>
  <w15:chartTrackingRefBased/>
  <w15:docId w15:val="{2A7565EF-B432-AA41-BD74-D42C71DB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50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C50"/>
    <w:rPr>
      <w:sz w:val="20"/>
      <w:szCs w:val="20"/>
      <w:lang w:bidi="he-IL"/>
    </w:rPr>
  </w:style>
  <w:style w:type="paragraph" w:styleId="NormalWeb">
    <w:name w:val="Normal (Web)"/>
    <w:basedOn w:val="Normal"/>
    <w:uiPriority w:val="99"/>
    <w:unhideWhenUsed/>
    <w:rsid w:val="00725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25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C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50"/>
    <w:rPr>
      <w:rFonts w:ascii="Times New Roman" w:hAnsi="Times New Roman" w:cs="Times New Roman"/>
      <w:sz w:val="18"/>
      <w:szCs w:val="18"/>
      <w:lang w:bidi="he-IL"/>
    </w:rPr>
  </w:style>
  <w:style w:type="paragraph" w:customStyle="1" w:styleId="Default">
    <w:name w:val="Default"/>
    <w:rsid w:val="003271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FD"/>
    <w:rPr>
      <w:b/>
      <w:bCs/>
      <w:sz w:val="20"/>
      <w:szCs w:val="20"/>
      <w:lang w:bidi="he-IL"/>
    </w:rPr>
  </w:style>
  <w:style w:type="character" w:customStyle="1" w:styleId="apple-converted-space">
    <w:name w:val="apple-converted-space"/>
    <w:basedOn w:val="DefaultParagraphFont"/>
    <w:rsid w:val="00DC68DB"/>
  </w:style>
  <w:style w:type="paragraph" w:customStyle="1" w:styleId="m1558027342881162076msolistparagraph">
    <w:name w:val="m_1558027342881162076msolistparagraph"/>
    <w:basedOn w:val="Normal"/>
    <w:rsid w:val="00F4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0B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4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0B"/>
    <w:rPr>
      <w:sz w:val="22"/>
      <w:szCs w:val="22"/>
      <w:lang w:bidi="he-IL"/>
    </w:rPr>
  </w:style>
  <w:style w:type="paragraph" w:styleId="Revision">
    <w:name w:val="Revision"/>
    <w:hidden/>
    <w:uiPriority w:val="99"/>
    <w:semiHidden/>
    <w:rsid w:val="00AD1207"/>
    <w:rPr>
      <w:sz w:val="22"/>
      <w:szCs w:val="22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AD1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ddw.org/presenters/submit-an-abstract/abstract-submission-guidelines/?gclid=CjwKCAiA7dKMBhBCEiwAO_crFOYuaSuoM3Qu0bhu6uXiNMwhxlj7szW6FMiVUDBgxFXS1AK1emyBdxoC7oIQAvD_Bw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1170E779E741A552CD3DBB0AD206" ma:contentTypeVersion="16" ma:contentTypeDescription="Create a new document." ma:contentTypeScope="" ma:versionID="89953138c1a441079cf872e79f9cbdec">
  <xsd:schema xmlns:xsd="http://www.w3.org/2001/XMLSchema" xmlns:xs="http://www.w3.org/2001/XMLSchema" xmlns:p="http://schemas.microsoft.com/office/2006/metadata/properties" xmlns:ns1="http://schemas.microsoft.com/sharepoint/v3" xmlns:ns3="5bae7d12-13eb-4134-a1d8-2ddc8d2534e1" xmlns:ns4="0607c165-4834-4b2f-b2fc-8fc42bd4e799" targetNamespace="http://schemas.microsoft.com/office/2006/metadata/properties" ma:root="true" ma:fieldsID="29feb8b4935fea33e2f6e97377c9bc0d" ns1:_="" ns3:_="" ns4:_="">
    <xsd:import namespace="http://schemas.microsoft.com/sharepoint/v3"/>
    <xsd:import namespace="5bae7d12-13eb-4134-a1d8-2ddc8d2534e1"/>
    <xsd:import namespace="0607c165-4834-4b2f-b2fc-8fc42bd4e79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7d12-13eb-4134-a1d8-2ddc8d25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c165-4834-4b2f-b2fc-8fc42bd4e79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173AB-006F-4845-9EE6-AAF0FB537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ae7d12-13eb-4134-a1d8-2ddc8d2534e1"/>
    <ds:schemaRef ds:uri="0607c165-4834-4b2f-b2fc-8fc42bd4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9FA73-839F-4C86-9FD5-D48C74DCF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AEB49-A8C0-472B-9362-44D9D9C3DF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Author</cp:lastModifiedBy>
  <cp:revision>4</cp:revision>
  <dcterms:created xsi:type="dcterms:W3CDTF">2021-11-30T16:12:00Z</dcterms:created>
  <dcterms:modified xsi:type="dcterms:W3CDTF">2021-12-02T14:39:00Z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0x01010054ED1170E779E741A552CD3DBB0AD206</vt:lpwstr>
  </property>
</Properties>
</file>