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20F5E" w14:textId="77777777" w:rsidR="009B71F3" w:rsidRPr="009B71F3" w:rsidRDefault="009B71F3" w:rsidP="009B71F3">
      <w:pPr>
        <w:pStyle w:val="NormalWeb"/>
        <w:spacing w:before="0" w:beforeAutospacing="0" w:after="0" w:afterAutospacing="0" w:line="276" w:lineRule="auto"/>
        <w:rPr>
          <w:rFonts w:ascii="Arial" w:hAnsi="Arial" w:cs="Arial"/>
          <w:b/>
          <w:sz w:val="20"/>
          <w:szCs w:val="20"/>
        </w:rPr>
      </w:pPr>
      <w:bookmarkStart w:id="0" w:name="_GoBack"/>
      <w:bookmarkEnd w:id="0"/>
      <w:r w:rsidRPr="009B71F3">
        <w:rPr>
          <w:rFonts w:ascii="Arial" w:hAnsi="Arial" w:cs="Arial"/>
          <w:b/>
          <w:sz w:val="20"/>
          <w:szCs w:val="20"/>
        </w:rPr>
        <w:t>ABSTRACT FOR UEG 2</w:t>
      </w:r>
      <w:r w:rsidR="00CA0563">
        <w:rPr>
          <w:rFonts w:ascii="Arial" w:hAnsi="Arial" w:cs="Arial"/>
          <w:b/>
          <w:sz w:val="20"/>
          <w:szCs w:val="20"/>
        </w:rPr>
        <w:t>020</w:t>
      </w:r>
    </w:p>
    <w:p w14:paraId="46A47B44" w14:textId="77777777" w:rsidR="00CA0563" w:rsidRDefault="00CA0563" w:rsidP="00CA0563">
      <w:pPr>
        <w:pStyle w:val="NormalWeb"/>
        <w:shd w:val="clear" w:color="auto" w:fill="FFFFFF"/>
        <w:spacing w:before="0" w:beforeAutospacing="0" w:after="0" w:afterAutospacing="0" w:line="276" w:lineRule="auto"/>
        <w:rPr>
          <w:rFonts w:ascii="Arial" w:hAnsi="Arial" w:cs="Arial"/>
          <w:b/>
          <w:sz w:val="20"/>
          <w:szCs w:val="20"/>
        </w:rPr>
      </w:pPr>
    </w:p>
    <w:p w14:paraId="2F19ABAF" w14:textId="7641AB77" w:rsidR="00CA0563" w:rsidRDefault="00CA0563" w:rsidP="00CA0563">
      <w:pPr>
        <w:pStyle w:val="NormalWeb"/>
        <w:shd w:val="clear" w:color="auto" w:fill="FFFFFF"/>
        <w:spacing w:before="0" w:beforeAutospacing="0" w:after="0" w:afterAutospacing="0" w:line="276" w:lineRule="auto"/>
        <w:rPr>
          <w:rFonts w:ascii="Arial" w:hAnsi="Arial" w:cs="Arial"/>
          <w:b/>
          <w:bCs/>
          <w:color w:val="000000" w:themeColor="text1"/>
          <w:sz w:val="20"/>
          <w:szCs w:val="20"/>
          <w:lang w:bidi="he-IL"/>
        </w:rPr>
      </w:pPr>
      <w:r>
        <w:rPr>
          <w:rFonts w:ascii="Arial" w:hAnsi="Arial" w:cs="Arial"/>
          <w:b/>
          <w:bCs/>
          <w:color w:val="000000" w:themeColor="text1"/>
          <w:sz w:val="20"/>
          <w:szCs w:val="20"/>
          <w:lang w:bidi="he-IL"/>
        </w:rPr>
        <w:t xml:space="preserve">Prevention of </w:t>
      </w:r>
      <w:r w:rsidRPr="006C1971">
        <w:rPr>
          <w:rFonts w:ascii="Arial" w:hAnsi="Arial" w:cs="Arial"/>
          <w:b/>
          <w:bCs/>
          <w:color w:val="000000" w:themeColor="text1"/>
          <w:sz w:val="20"/>
          <w:szCs w:val="20"/>
          <w:lang w:bidi="he-IL"/>
        </w:rPr>
        <w:t xml:space="preserve">Recurrent </w:t>
      </w:r>
      <w:r w:rsidRPr="00A82C41">
        <w:rPr>
          <w:rFonts w:ascii="Arial" w:hAnsi="Arial" w:cs="Arial"/>
          <w:b/>
          <w:bCs/>
          <w:i/>
          <w:iCs/>
          <w:color w:val="000000" w:themeColor="text1"/>
          <w:sz w:val="20"/>
          <w:szCs w:val="20"/>
          <w:lang w:bidi="he-IL"/>
        </w:rPr>
        <w:t>Clostridioides difficile</w:t>
      </w:r>
      <w:r w:rsidRPr="006C1971">
        <w:rPr>
          <w:rFonts w:ascii="Arial" w:hAnsi="Arial" w:cs="Arial"/>
          <w:b/>
          <w:bCs/>
          <w:color w:val="000000" w:themeColor="text1"/>
          <w:sz w:val="20"/>
          <w:szCs w:val="20"/>
          <w:lang w:bidi="he-IL"/>
        </w:rPr>
        <w:t xml:space="preserve"> Infection</w:t>
      </w:r>
      <w:r>
        <w:rPr>
          <w:rFonts w:ascii="Arial" w:hAnsi="Arial" w:cs="Arial"/>
          <w:b/>
          <w:bCs/>
          <w:color w:val="000000" w:themeColor="text1"/>
          <w:sz w:val="20"/>
          <w:szCs w:val="20"/>
          <w:lang w:bidi="he-IL"/>
        </w:rPr>
        <w:t xml:space="preserve"> at Two Years After</w:t>
      </w:r>
      <w:r w:rsidR="00301889">
        <w:rPr>
          <w:rFonts w:ascii="Arial" w:hAnsi="Arial" w:cs="Arial"/>
          <w:b/>
          <w:bCs/>
          <w:color w:val="000000" w:themeColor="text1"/>
          <w:sz w:val="20"/>
          <w:szCs w:val="20"/>
          <w:lang w:bidi="he-IL"/>
        </w:rPr>
        <w:t xml:space="preserve"> Treatment with</w:t>
      </w:r>
      <w:r>
        <w:rPr>
          <w:rFonts w:ascii="Arial" w:hAnsi="Arial" w:cs="Arial"/>
          <w:b/>
          <w:bCs/>
          <w:color w:val="000000" w:themeColor="text1"/>
          <w:sz w:val="20"/>
          <w:szCs w:val="20"/>
          <w:lang w:bidi="he-IL"/>
        </w:rPr>
        <w:t xml:space="preserve"> Investigational </w:t>
      </w:r>
      <w:r w:rsidRPr="006C1971">
        <w:rPr>
          <w:rFonts w:ascii="Arial" w:hAnsi="Arial" w:cs="Arial"/>
          <w:b/>
          <w:bCs/>
          <w:color w:val="000000" w:themeColor="text1"/>
          <w:sz w:val="20"/>
          <w:szCs w:val="20"/>
          <w:lang w:bidi="he-IL"/>
        </w:rPr>
        <w:t xml:space="preserve">Microbiota-Based Drug RBX2660:  </w:t>
      </w:r>
      <w:r w:rsidR="00FF728C" w:rsidRPr="006C1971">
        <w:rPr>
          <w:rFonts w:ascii="Arial" w:hAnsi="Arial" w:cs="Arial"/>
          <w:b/>
          <w:bCs/>
          <w:color w:val="000000" w:themeColor="text1"/>
          <w:sz w:val="20"/>
          <w:szCs w:val="20"/>
          <w:lang w:bidi="he-IL"/>
        </w:rPr>
        <w:t>Efficacy, Durability, Microbiome Changes, and Participant Demographics</w:t>
      </w:r>
      <w:r w:rsidR="00FF728C">
        <w:rPr>
          <w:rFonts w:ascii="Arial" w:hAnsi="Arial" w:cs="Arial"/>
          <w:b/>
          <w:bCs/>
          <w:color w:val="000000" w:themeColor="text1"/>
          <w:sz w:val="20"/>
          <w:szCs w:val="20"/>
          <w:lang w:bidi="he-IL"/>
        </w:rPr>
        <w:t xml:space="preserve"> of a</w:t>
      </w:r>
      <w:r>
        <w:rPr>
          <w:rFonts w:ascii="Arial" w:hAnsi="Arial" w:cs="Arial"/>
          <w:b/>
          <w:bCs/>
          <w:color w:val="000000" w:themeColor="text1"/>
          <w:sz w:val="20"/>
          <w:szCs w:val="20"/>
          <w:lang w:bidi="he-IL"/>
        </w:rPr>
        <w:t xml:space="preserve"> </w:t>
      </w:r>
      <w:r w:rsidRPr="006C1971">
        <w:rPr>
          <w:rFonts w:ascii="Arial" w:hAnsi="Arial" w:cs="Arial"/>
          <w:b/>
          <w:bCs/>
          <w:color w:val="000000" w:themeColor="text1"/>
          <w:sz w:val="20"/>
          <w:szCs w:val="20"/>
          <w:lang w:bidi="he-IL"/>
        </w:rPr>
        <w:t xml:space="preserve">Phase 2 Open-Label Clinical Trial </w:t>
      </w:r>
      <w:r w:rsidR="00FF728C">
        <w:rPr>
          <w:rFonts w:ascii="Arial" w:hAnsi="Arial" w:cs="Arial"/>
          <w:b/>
          <w:bCs/>
          <w:color w:val="000000" w:themeColor="text1"/>
          <w:sz w:val="20"/>
          <w:szCs w:val="20"/>
          <w:lang w:bidi="he-IL"/>
        </w:rPr>
        <w:t xml:space="preserve"> </w:t>
      </w:r>
    </w:p>
    <w:p w14:paraId="06DC1319" w14:textId="77777777" w:rsidR="00CA0563" w:rsidRDefault="00CA0563" w:rsidP="00CA0563">
      <w:pPr>
        <w:pStyle w:val="NormalWeb"/>
        <w:shd w:val="clear" w:color="auto" w:fill="FFFFFF"/>
        <w:spacing w:before="0" w:beforeAutospacing="0" w:after="0" w:afterAutospacing="0" w:line="276" w:lineRule="auto"/>
        <w:rPr>
          <w:rFonts w:ascii="Arial" w:hAnsi="Arial" w:cs="Arial"/>
          <w:b/>
          <w:bCs/>
          <w:color w:val="000000" w:themeColor="text1"/>
          <w:sz w:val="20"/>
          <w:szCs w:val="20"/>
          <w:lang w:bidi="he-IL"/>
        </w:rPr>
      </w:pPr>
    </w:p>
    <w:p w14:paraId="43D5543D" w14:textId="77777777" w:rsidR="00CA0563" w:rsidRPr="00A82C41" w:rsidRDefault="00CA0563" w:rsidP="00301889">
      <w:pPr>
        <w:pStyle w:val="NormalWeb"/>
        <w:shd w:val="clear" w:color="auto" w:fill="FFFFFF"/>
        <w:spacing w:before="0" w:beforeAutospacing="0" w:after="120" w:afterAutospacing="0" w:line="276" w:lineRule="auto"/>
        <w:rPr>
          <w:rFonts w:ascii="Arial" w:hAnsi="Arial" w:cs="Arial"/>
          <w:color w:val="000000" w:themeColor="text1"/>
          <w:sz w:val="20"/>
          <w:szCs w:val="20"/>
        </w:rPr>
      </w:pPr>
      <w:r w:rsidRPr="00A82C41">
        <w:rPr>
          <w:rFonts w:ascii="Arial" w:hAnsi="Arial" w:cs="Arial"/>
          <w:color w:val="000000" w:themeColor="text1"/>
          <w:sz w:val="20"/>
          <w:szCs w:val="20"/>
        </w:rPr>
        <w:t>Christina Reimer</w:t>
      </w:r>
      <w:r>
        <w:rPr>
          <w:rFonts w:ascii="Arial" w:hAnsi="Arial" w:cs="Arial"/>
          <w:color w:val="000000" w:themeColor="text1"/>
          <w:sz w:val="20"/>
          <w:szCs w:val="20"/>
        </w:rPr>
        <w:t xml:space="preserve"> MD, PhD</w:t>
      </w:r>
      <w:r w:rsidRPr="00A82C41">
        <w:rPr>
          <w:rFonts w:ascii="Arial" w:hAnsi="Arial" w:cs="Arial"/>
          <w:i/>
          <w:iCs/>
          <w:color w:val="000000" w:themeColor="text1"/>
          <w:sz w:val="20"/>
          <w:szCs w:val="20"/>
          <w:vertAlign w:val="superscript"/>
        </w:rPr>
        <w:t>1</w:t>
      </w:r>
      <w:r w:rsidRPr="00A82C41">
        <w:rPr>
          <w:rFonts w:ascii="Arial" w:hAnsi="Arial" w:cs="Arial"/>
          <w:color w:val="000000" w:themeColor="text1"/>
          <w:sz w:val="20"/>
          <w:szCs w:val="20"/>
        </w:rPr>
        <w:t>, Robert Orenstein</w:t>
      </w:r>
      <w:r>
        <w:rPr>
          <w:rFonts w:ascii="Arial" w:hAnsi="Arial" w:cs="Arial"/>
          <w:color w:val="000000" w:themeColor="text1"/>
          <w:sz w:val="20"/>
          <w:szCs w:val="20"/>
        </w:rPr>
        <w:t xml:space="preserve"> DO</w:t>
      </w:r>
      <w:r w:rsidRPr="00A82C41">
        <w:rPr>
          <w:rFonts w:ascii="Arial" w:hAnsi="Arial" w:cs="Arial"/>
          <w:color w:val="000000" w:themeColor="text1"/>
          <w:sz w:val="20"/>
          <w:szCs w:val="20"/>
          <w:vertAlign w:val="superscript"/>
        </w:rPr>
        <w:t>2</w:t>
      </w:r>
      <w:r w:rsidRPr="00A82C41">
        <w:rPr>
          <w:rFonts w:ascii="Arial" w:hAnsi="Arial" w:cs="Arial"/>
          <w:color w:val="000000" w:themeColor="text1"/>
          <w:sz w:val="20"/>
          <w:szCs w:val="20"/>
        </w:rPr>
        <w:t>, Lindy Bancke</w:t>
      </w:r>
      <w:r>
        <w:rPr>
          <w:rFonts w:ascii="Arial" w:hAnsi="Arial" w:cs="Arial"/>
          <w:color w:val="000000" w:themeColor="text1"/>
          <w:sz w:val="20"/>
          <w:szCs w:val="20"/>
        </w:rPr>
        <w:t xml:space="preserve"> PharmD</w:t>
      </w:r>
      <w:r w:rsidRPr="00A82C41">
        <w:rPr>
          <w:rFonts w:ascii="Arial" w:hAnsi="Arial" w:cs="Arial"/>
          <w:color w:val="000000" w:themeColor="text1"/>
          <w:sz w:val="20"/>
          <w:szCs w:val="20"/>
          <w:vertAlign w:val="superscript"/>
        </w:rPr>
        <w:t>3</w:t>
      </w:r>
      <w:r w:rsidRPr="00A82C41">
        <w:rPr>
          <w:rFonts w:ascii="Arial" w:hAnsi="Arial" w:cs="Arial"/>
          <w:color w:val="000000" w:themeColor="text1"/>
          <w:sz w:val="20"/>
          <w:szCs w:val="20"/>
        </w:rPr>
        <w:t>, Carlos Gonzalez</w:t>
      </w:r>
      <w:r>
        <w:rPr>
          <w:rFonts w:ascii="Arial" w:hAnsi="Arial" w:cs="Arial"/>
          <w:color w:val="000000" w:themeColor="text1"/>
          <w:sz w:val="20"/>
          <w:szCs w:val="20"/>
        </w:rPr>
        <w:t xml:space="preserve"> MS</w:t>
      </w:r>
      <w:r w:rsidRPr="00A82C41">
        <w:rPr>
          <w:rFonts w:ascii="Arial" w:hAnsi="Arial" w:cs="Arial"/>
          <w:color w:val="000000" w:themeColor="text1"/>
          <w:sz w:val="20"/>
          <w:szCs w:val="20"/>
          <w:vertAlign w:val="superscript"/>
        </w:rPr>
        <w:t>4</w:t>
      </w:r>
      <w:r w:rsidRPr="00A82C41">
        <w:rPr>
          <w:rFonts w:ascii="Arial" w:hAnsi="Arial" w:cs="Arial"/>
          <w:color w:val="000000" w:themeColor="text1"/>
          <w:sz w:val="20"/>
          <w:szCs w:val="20"/>
        </w:rPr>
        <w:t xml:space="preserve">, </w:t>
      </w:r>
      <w:r w:rsidRPr="00A82C41">
        <w:rPr>
          <w:rFonts w:ascii="Arial" w:hAnsi="Arial" w:cs="Arial"/>
          <w:bCs/>
          <w:color w:val="000000" w:themeColor="text1"/>
          <w:sz w:val="20"/>
          <w:szCs w:val="20"/>
        </w:rPr>
        <w:t>Ken Blount</w:t>
      </w:r>
      <w:r>
        <w:rPr>
          <w:rFonts w:ascii="Arial" w:hAnsi="Arial" w:cs="Arial"/>
          <w:bCs/>
          <w:color w:val="000000" w:themeColor="text1"/>
          <w:sz w:val="20"/>
          <w:szCs w:val="20"/>
        </w:rPr>
        <w:t xml:space="preserve"> PhD</w:t>
      </w:r>
      <w:r w:rsidRPr="00A82C41">
        <w:rPr>
          <w:rFonts w:ascii="Arial" w:hAnsi="Arial" w:cs="Arial"/>
          <w:bCs/>
          <w:color w:val="000000" w:themeColor="text1"/>
          <w:sz w:val="20"/>
          <w:szCs w:val="20"/>
          <w:vertAlign w:val="superscript"/>
        </w:rPr>
        <w:t>3</w:t>
      </w:r>
    </w:p>
    <w:p w14:paraId="6A0D7DCD" w14:textId="77777777" w:rsidR="00CA0563" w:rsidRPr="00A82C41" w:rsidRDefault="00CA0563" w:rsidP="00CA0563">
      <w:pPr>
        <w:pStyle w:val="NormalWeb"/>
        <w:shd w:val="clear" w:color="auto" w:fill="FFFFFF"/>
        <w:spacing w:before="0" w:beforeAutospacing="0" w:after="0" w:afterAutospacing="0" w:line="276" w:lineRule="auto"/>
        <w:rPr>
          <w:rFonts w:ascii="Arial" w:hAnsi="Arial" w:cs="Arial"/>
          <w:color w:val="000000" w:themeColor="text1"/>
          <w:sz w:val="20"/>
          <w:szCs w:val="20"/>
        </w:rPr>
      </w:pPr>
      <w:r w:rsidRPr="00A82C41">
        <w:rPr>
          <w:rFonts w:ascii="Arial" w:hAnsi="Arial" w:cs="Arial"/>
          <w:color w:val="000000" w:themeColor="text1"/>
          <w:sz w:val="20"/>
          <w:szCs w:val="20"/>
          <w:vertAlign w:val="superscript"/>
        </w:rPr>
        <w:t>1</w:t>
      </w:r>
      <w:r w:rsidRPr="00A82C41">
        <w:rPr>
          <w:rFonts w:ascii="Arial" w:hAnsi="Arial" w:cs="Arial"/>
          <w:color w:val="000000" w:themeColor="text1"/>
          <w:sz w:val="20"/>
          <w:szCs w:val="20"/>
        </w:rPr>
        <w:t>Ferring Pharmac</w:t>
      </w:r>
      <w:r>
        <w:rPr>
          <w:rFonts w:ascii="Arial" w:hAnsi="Arial" w:cs="Arial"/>
          <w:color w:val="000000" w:themeColor="text1"/>
          <w:sz w:val="20"/>
          <w:szCs w:val="20"/>
        </w:rPr>
        <w:t>eu</w:t>
      </w:r>
      <w:r w:rsidRPr="00A82C41">
        <w:rPr>
          <w:rFonts w:ascii="Arial" w:hAnsi="Arial" w:cs="Arial"/>
          <w:color w:val="000000" w:themeColor="text1"/>
          <w:sz w:val="20"/>
          <w:szCs w:val="20"/>
        </w:rPr>
        <w:t>ticals, Copenhagen, Denmar</w:t>
      </w:r>
      <w:r>
        <w:rPr>
          <w:rFonts w:ascii="Arial" w:hAnsi="Arial" w:cs="Arial"/>
          <w:color w:val="000000" w:themeColor="text1"/>
          <w:sz w:val="20"/>
          <w:szCs w:val="20"/>
        </w:rPr>
        <w:t>k</w:t>
      </w:r>
      <w:r w:rsidRPr="00A82C41">
        <w:rPr>
          <w:rFonts w:ascii="Arial" w:hAnsi="Arial" w:cs="Arial"/>
          <w:color w:val="000000" w:themeColor="text1"/>
          <w:sz w:val="20"/>
          <w:szCs w:val="20"/>
        </w:rPr>
        <w:t xml:space="preserve">; </w:t>
      </w:r>
      <w:r w:rsidRPr="00A82C41">
        <w:rPr>
          <w:rFonts w:ascii="Arial" w:hAnsi="Arial" w:cs="Arial"/>
          <w:color w:val="000000" w:themeColor="text1"/>
          <w:sz w:val="20"/>
          <w:szCs w:val="20"/>
          <w:vertAlign w:val="superscript"/>
        </w:rPr>
        <w:t>2</w:t>
      </w:r>
      <w:r w:rsidRPr="00A82C41">
        <w:rPr>
          <w:rFonts w:ascii="Arial" w:hAnsi="Arial" w:cs="Arial"/>
          <w:color w:val="000000" w:themeColor="text1"/>
          <w:sz w:val="20"/>
          <w:szCs w:val="20"/>
        </w:rPr>
        <w:t xml:space="preserve">Mayo Clinic in Arizona, Phoenix, AZ; </w:t>
      </w:r>
      <w:r w:rsidRPr="00A82C41">
        <w:rPr>
          <w:rFonts w:ascii="Arial" w:hAnsi="Arial" w:cs="Arial"/>
          <w:color w:val="000000" w:themeColor="text1"/>
          <w:sz w:val="20"/>
          <w:szCs w:val="20"/>
          <w:vertAlign w:val="superscript"/>
        </w:rPr>
        <w:t>3</w:t>
      </w:r>
      <w:r w:rsidRPr="00A82C41">
        <w:rPr>
          <w:rFonts w:ascii="Arial" w:hAnsi="Arial" w:cs="Arial"/>
          <w:color w:val="000000" w:themeColor="text1"/>
          <w:sz w:val="20"/>
          <w:szCs w:val="20"/>
        </w:rPr>
        <w:t xml:space="preserve">Rebiotix Inc, Roseville, MN; </w:t>
      </w:r>
      <w:r w:rsidRPr="00A82C41">
        <w:rPr>
          <w:rFonts w:ascii="Arial" w:hAnsi="Arial" w:cs="Arial"/>
          <w:color w:val="000000" w:themeColor="text1"/>
          <w:sz w:val="20"/>
          <w:szCs w:val="20"/>
          <w:vertAlign w:val="superscript"/>
        </w:rPr>
        <w:t xml:space="preserve">4 </w:t>
      </w:r>
      <w:r w:rsidRPr="00A82C41">
        <w:rPr>
          <w:rFonts w:ascii="Arial" w:hAnsi="Arial" w:cs="Arial"/>
          <w:color w:val="000000" w:themeColor="text1"/>
          <w:sz w:val="20"/>
          <w:szCs w:val="20"/>
        </w:rPr>
        <w:t>BioRankings, St. Louis, MO</w:t>
      </w:r>
    </w:p>
    <w:p w14:paraId="22A012EB" w14:textId="77777777" w:rsidR="00CA0563" w:rsidRDefault="00CA0563" w:rsidP="00C211A4">
      <w:pPr>
        <w:pStyle w:val="NormalWeb"/>
        <w:spacing w:before="0" w:beforeAutospacing="0" w:after="0" w:afterAutospacing="0" w:line="276" w:lineRule="auto"/>
        <w:rPr>
          <w:rFonts w:ascii="Arial" w:hAnsi="Arial" w:cs="Arial"/>
          <w:b/>
          <w:color w:val="000000"/>
          <w:sz w:val="20"/>
          <w:szCs w:val="20"/>
        </w:rPr>
      </w:pPr>
    </w:p>
    <w:p w14:paraId="720274FE" w14:textId="77777777" w:rsidR="004E7F8E" w:rsidRPr="00A056BF" w:rsidRDefault="009B71F3" w:rsidP="00A056BF">
      <w:pPr>
        <w:pStyle w:val="NormalWeb"/>
        <w:spacing w:before="0" w:beforeAutospacing="0" w:after="0" w:afterAutospacing="0"/>
        <w:rPr>
          <w:rFonts w:ascii="Arial" w:hAnsi="Arial" w:cs="Arial"/>
          <w:b/>
          <w:color w:val="000000"/>
          <w:sz w:val="20"/>
          <w:szCs w:val="20"/>
        </w:rPr>
      </w:pPr>
      <w:r w:rsidRPr="00A056BF">
        <w:rPr>
          <w:rFonts w:ascii="Arial" w:hAnsi="Arial" w:cs="Arial"/>
          <w:b/>
          <w:color w:val="000000"/>
          <w:sz w:val="20"/>
          <w:szCs w:val="20"/>
        </w:rPr>
        <w:t>Objective</w:t>
      </w:r>
    </w:p>
    <w:p w14:paraId="634F3A3E" w14:textId="77777777" w:rsidR="00CA0563" w:rsidRPr="00A056BF" w:rsidRDefault="00CA0563" w:rsidP="00A056BF">
      <w:pPr>
        <w:pStyle w:val="NormalWeb"/>
        <w:spacing w:before="0" w:beforeAutospacing="0" w:after="0" w:afterAutospacing="0"/>
        <w:rPr>
          <w:rFonts w:ascii="Arial" w:hAnsi="Arial" w:cs="Arial"/>
          <w:sz w:val="20"/>
          <w:szCs w:val="20"/>
        </w:rPr>
      </w:pPr>
      <w:r w:rsidRPr="00A056BF">
        <w:rPr>
          <w:rFonts w:ascii="Arial" w:hAnsi="Arial" w:cs="Arial"/>
          <w:i/>
          <w:sz w:val="20"/>
          <w:szCs w:val="20"/>
        </w:rPr>
        <w:t>Clostridioides difficile</w:t>
      </w:r>
      <w:r w:rsidRPr="00A056BF">
        <w:rPr>
          <w:rFonts w:ascii="Arial" w:hAnsi="Arial" w:cs="Arial"/>
          <w:sz w:val="20"/>
          <w:szCs w:val="20"/>
        </w:rPr>
        <w:t xml:space="preserve"> infection (CDI) is a global disease associated with mortality, morbidity, compromised quality of life, and substantial medical cost. Disruption of the intestinal microbiome contributes to recurrent CDI (rCDI), motivating development of microbiota therapies to prevent rCDI in multi-recurrent individuals. We present the 24-month analysis of safety, efficacy, and microbiome restoration from a Phase 2 open-label trial of the investigational microbiota-based drug RBX2660 for prevention of CDI recurrence. </w:t>
      </w:r>
      <w:r w:rsidR="00185054" w:rsidRPr="00A056BF">
        <w:rPr>
          <w:rFonts w:ascii="Arial" w:hAnsi="Arial" w:cs="Arial"/>
          <w:bCs/>
          <w:sz w:val="20"/>
          <w:szCs w:val="20"/>
        </w:rPr>
        <w:t xml:space="preserve">To address potential </w:t>
      </w:r>
      <w:r w:rsidR="00185054" w:rsidRPr="00A056BF">
        <w:rPr>
          <w:rFonts w:ascii="Arial" w:hAnsi="Arial" w:cs="Arial"/>
          <w:sz w:val="20"/>
          <w:szCs w:val="20"/>
        </w:rPr>
        <w:t xml:space="preserve">demographic differences on treatment outcome and durability, </w:t>
      </w:r>
      <w:r w:rsidRPr="00A056BF">
        <w:rPr>
          <w:rFonts w:ascii="Arial" w:hAnsi="Arial" w:cs="Arial"/>
          <w:sz w:val="20"/>
          <w:szCs w:val="20"/>
        </w:rPr>
        <w:t xml:space="preserve">we </w:t>
      </w:r>
      <w:r w:rsidR="00185054" w:rsidRPr="00A056BF">
        <w:rPr>
          <w:rFonts w:ascii="Arial" w:hAnsi="Arial" w:cs="Arial"/>
          <w:sz w:val="20"/>
          <w:szCs w:val="20"/>
        </w:rPr>
        <w:t xml:space="preserve">also </w:t>
      </w:r>
      <w:r w:rsidRPr="00A056BF">
        <w:rPr>
          <w:rFonts w:ascii="Arial" w:hAnsi="Arial" w:cs="Arial"/>
          <w:sz w:val="20"/>
          <w:szCs w:val="20"/>
        </w:rPr>
        <w:t>report a subpopulation analysis</w:t>
      </w:r>
      <w:r w:rsidR="00185054" w:rsidRPr="00A056BF">
        <w:rPr>
          <w:rFonts w:ascii="Arial" w:hAnsi="Arial" w:cs="Arial"/>
          <w:sz w:val="20"/>
          <w:szCs w:val="20"/>
        </w:rPr>
        <w:t xml:space="preserve">. </w:t>
      </w:r>
      <w:r w:rsidRPr="00A056BF">
        <w:rPr>
          <w:rFonts w:ascii="Arial" w:hAnsi="Arial" w:cs="Arial"/>
          <w:sz w:val="20"/>
          <w:szCs w:val="20"/>
        </w:rPr>
        <w:t xml:space="preserve"> </w:t>
      </w:r>
    </w:p>
    <w:p w14:paraId="717A5408" w14:textId="77777777" w:rsidR="00FF728C" w:rsidRDefault="00FF728C" w:rsidP="00A056BF">
      <w:pPr>
        <w:pStyle w:val="NormalWeb"/>
        <w:spacing w:before="0" w:beforeAutospacing="0" w:after="0" w:afterAutospacing="0"/>
        <w:rPr>
          <w:rFonts w:ascii="Arial" w:hAnsi="Arial" w:cs="Arial"/>
          <w:b/>
          <w:color w:val="000000"/>
          <w:sz w:val="20"/>
          <w:szCs w:val="20"/>
        </w:rPr>
      </w:pPr>
    </w:p>
    <w:p w14:paraId="7CF6AC3E" w14:textId="77777777" w:rsidR="004E7F8E" w:rsidRPr="00A056BF" w:rsidRDefault="004E7F8E" w:rsidP="00A056BF">
      <w:pPr>
        <w:pStyle w:val="NormalWeb"/>
        <w:spacing w:before="0" w:beforeAutospacing="0" w:after="0" w:afterAutospacing="0"/>
        <w:rPr>
          <w:rFonts w:ascii="Arial" w:hAnsi="Arial" w:cs="Arial"/>
          <w:b/>
          <w:color w:val="000000"/>
          <w:sz w:val="20"/>
          <w:szCs w:val="20"/>
        </w:rPr>
      </w:pPr>
      <w:r w:rsidRPr="00A056BF">
        <w:rPr>
          <w:rFonts w:ascii="Arial" w:hAnsi="Arial" w:cs="Arial"/>
          <w:b/>
          <w:color w:val="000000"/>
          <w:sz w:val="20"/>
          <w:szCs w:val="20"/>
        </w:rPr>
        <w:t>Methods</w:t>
      </w:r>
    </w:p>
    <w:p w14:paraId="1E3AB1C0" w14:textId="0A40517A" w:rsidR="00A056BF" w:rsidRPr="00A056BF" w:rsidRDefault="00A056BF" w:rsidP="00A056BF">
      <w:pPr>
        <w:pStyle w:val="NormalWeb"/>
        <w:shd w:val="clear" w:color="auto" w:fill="FFFFFF"/>
        <w:spacing w:before="0" w:beforeAutospacing="0" w:after="0" w:afterAutospacing="0"/>
        <w:rPr>
          <w:rFonts w:ascii="Arial" w:hAnsi="Arial" w:cs="Arial"/>
          <w:color w:val="211D1E"/>
          <w:sz w:val="20"/>
          <w:szCs w:val="20"/>
        </w:rPr>
      </w:pPr>
      <w:r w:rsidRPr="00A056BF">
        <w:rPr>
          <w:rFonts w:ascii="Arial" w:hAnsi="Arial" w:cs="Arial"/>
          <w:sz w:val="20"/>
          <w:szCs w:val="20"/>
        </w:rPr>
        <w:t xml:space="preserve">This multicenter, open-label Phase 2 trial included participants with multi-recurrent CDI who received </w:t>
      </w:r>
      <w:r w:rsidRPr="00A056BF">
        <w:rPr>
          <w:rFonts w:ascii="Arial" w:hAnsi="Arial" w:cs="Arial"/>
          <w:sz w:val="20"/>
          <w:szCs w:val="20"/>
          <w:u w:val="single"/>
        </w:rPr>
        <w:t>&lt;</w:t>
      </w:r>
      <w:r w:rsidRPr="00A056BF">
        <w:rPr>
          <w:rFonts w:ascii="Arial" w:hAnsi="Arial" w:cs="Arial"/>
          <w:sz w:val="20"/>
          <w:szCs w:val="20"/>
        </w:rPr>
        <w:t>2 doses of RBX2660 delivered via enema 7 days apart.  Efficacy was defined as absence of CDI recurrence through 8 weeks after the last dose. Durability was defined as continued CDI absence beyond 8 weeks. Safety and durability assessments occurred at 3, 6, 12, and 24 months. A general linear model was performed to assess the influence of sex(female, male), age(</w:t>
      </w:r>
      <w:r w:rsidRPr="00A056BF">
        <w:rPr>
          <w:rFonts w:ascii="Arial" w:hAnsi="Arial" w:cs="Arial"/>
          <w:sz w:val="20"/>
          <w:szCs w:val="20"/>
          <w:u w:val="single"/>
        </w:rPr>
        <w:t>&gt;</w:t>
      </w:r>
      <w:r w:rsidRPr="00A056BF">
        <w:rPr>
          <w:rFonts w:ascii="Arial" w:hAnsi="Arial" w:cs="Arial"/>
          <w:sz w:val="20"/>
          <w:szCs w:val="20"/>
        </w:rPr>
        <w:t xml:space="preserve">65 years, &lt;65 years), and their interaction on clinical outcome. Participant stool samples were collected prior to and for up to </w:t>
      </w:r>
      <w:r w:rsidR="00842C45">
        <w:rPr>
          <w:rFonts w:ascii="Arial" w:hAnsi="Arial" w:cs="Arial"/>
          <w:sz w:val="20"/>
          <w:szCs w:val="20"/>
        </w:rPr>
        <w:t>24 months</w:t>
      </w:r>
      <w:r w:rsidRPr="00A056BF">
        <w:rPr>
          <w:rFonts w:ascii="Arial" w:hAnsi="Arial" w:cs="Arial"/>
          <w:sz w:val="20"/>
          <w:szCs w:val="20"/>
        </w:rPr>
        <w:t xml:space="preserve"> after treatment, and microbiome changes were assessed by shallow shotgun sequencing.</w:t>
      </w:r>
    </w:p>
    <w:p w14:paraId="4CC1C387" w14:textId="77777777" w:rsidR="00FF728C" w:rsidRDefault="00FF728C" w:rsidP="00A056BF">
      <w:pPr>
        <w:pStyle w:val="NormalWeb"/>
        <w:shd w:val="clear" w:color="auto" w:fill="FFFFFF"/>
        <w:spacing w:before="0" w:beforeAutospacing="0" w:after="0" w:afterAutospacing="0"/>
        <w:rPr>
          <w:rFonts w:ascii="Arial" w:hAnsi="Arial" w:cs="Arial"/>
          <w:b/>
          <w:color w:val="000000"/>
          <w:sz w:val="20"/>
          <w:szCs w:val="20"/>
        </w:rPr>
      </w:pPr>
    </w:p>
    <w:p w14:paraId="4076F566" w14:textId="77777777" w:rsidR="004E7F8E" w:rsidRPr="00301889" w:rsidRDefault="004E7F8E" w:rsidP="00A056BF">
      <w:pPr>
        <w:pStyle w:val="NormalWeb"/>
        <w:shd w:val="clear" w:color="auto" w:fill="FFFFFF"/>
        <w:spacing w:before="0" w:beforeAutospacing="0" w:after="0" w:afterAutospacing="0"/>
        <w:rPr>
          <w:rFonts w:ascii="Arial" w:hAnsi="Arial" w:cs="Arial"/>
          <w:color w:val="211D1E"/>
          <w:sz w:val="20"/>
          <w:szCs w:val="20"/>
        </w:rPr>
      </w:pPr>
      <w:r w:rsidRPr="00301889">
        <w:rPr>
          <w:rFonts w:ascii="Arial" w:hAnsi="Arial" w:cs="Arial"/>
          <w:b/>
          <w:color w:val="000000"/>
          <w:sz w:val="20"/>
          <w:szCs w:val="20"/>
        </w:rPr>
        <w:t>Results</w:t>
      </w:r>
    </w:p>
    <w:p w14:paraId="2EB11E5A" w14:textId="5738E0F1" w:rsidR="00A056BF" w:rsidRDefault="00FF728C" w:rsidP="00A056BF">
      <w:pPr>
        <w:rPr>
          <w:rFonts w:ascii="Arial" w:hAnsi="Arial" w:cs="Arial"/>
          <w:sz w:val="20"/>
          <w:szCs w:val="20"/>
        </w:rPr>
      </w:pPr>
      <w:r w:rsidRPr="00301889">
        <w:rPr>
          <w:rFonts w:ascii="Arial" w:hAnsi="Arial" w:cs="Arial"/>
          <w:sz w:val="20"/>
          <w:szCs w:val="20"/>
        </w:rPr>
        <w:t>As previously reported, t</w:t>
      </w:r>
      <w:r w:rsidR="00A056BF" w:rsidRPr="00301889">
        <w:rPr>
          <w:rFonts w:ascii="Arial" w:hAnsi="Arial" w:cs="Arial"/>
          <w:sz w:val="20"/>
          <w:szCs w:val="20"/>
        </w:rPr>
        <w:t xml:space="preserve">he </w:t>
      </w:r>
      <w:r w:rsidRPr="00301889">
        <w:rPr>
          <w:rFonts w:ascii="Arial" w:hAnsi="Arial" w:cs="Arial"/>
          <w:sz w:val="20"/>
          <w:szCs w:val="20"/>
        </w:rPr>
        <w:t xml:space="preserve">8-week </w:t>
      </w:r>
      <w:r w:rsidR="00A056BF" w:rsidRPr="00301889">
        <w:rPr>
          <w:rFonts w:ascii="Arial" w:hAnsi="Arial" w:cs="Arial"/>
          <w:sz w:val="20"/>
          <w:szCs w:val="20"/>
        </w:rPr>
        <w:t>efficacy to prevent rCDI</w:t>
      </w:r>
      <w:r w:rsidRPr="00301889">
        <w:rPr>
          <w:rFonts w:ascii="Arial" w:hAnsi="Arial" w:cs="Arial"/>
          <w:sz w:val="20"/>
          <w:szCs w:val="20"/>
        </w:rPr>
        <w:t xml:space="preserve"> </w:t>
      </w:r>
      <w:r w:rsidR="00A056BF" w:rsidRPr="00301889">
        <w:rPr>
          <w:rFonts w:ascii="Arial" w:hAnsi="Arial" w:cs="Arial"/>
          <w:sz w:val="20"/>
          <w:szCs w:val="20"/>
        </w:rPr>
        <w:t xml:space="preserve">(79%;112/142) was higher than the CDI-free rate in the historical control group (31%, 23/75; </w:t>
      </w:r>
      <w:r w:rsidR="00A056BF" w:rsidRPr="00301889">
        <w:rPr>
          <w:rFonts w:ascii="Arial" w:hAnsi="Arial" w:cs="Arial"/>
          <w:i/>
          <w:sz w:val="20"/>
          <w:szCs w:val="20"/>
        </w:rPr>
        <w:t>p</w:t>
      </w:r>
      <w:r w:rsidR="00A056BF" w:rsidRPr="00301889">
        <w:rPr>
          <w:rFonts w:ascii="Arial" w:hAnsi="Arial" w:cs="Arial"/>
          <w:sz w:val="20"/>
          <w:szCs w:val="20"/>
        </w:rPr>
        <w:t xml:space="preserve">&lt;.0001). </w:t>
      </w:r>
      <w:r w:rsidRPr="00301889">
        <w:rPr>
          <w:rFonts w:ascii="Arial" w:hAnsi="Arial" w:cs="Arial"/>
          <w:sz w:val="20"/>
          <w:szCs w:val="20"/>
        </w:rPr>
        <w:t>Ninety-seven</w:t>
      </w:r>
      <w:r w:rsidR="00A056BF" w:rsidRPr="00301889">
        <w:rPr>
          <w:rFonts w:ascii="Arial" w:hAnsi="Arial" w:cs="Arial"/>
          <w:sz w:val="20"/>
          <w:szCs w:val="20"/>
        </w:rPr>
        <w:t xml:space="preserve"> participants who achieved treatment success at 8 weeks </w:t>
      </w:r>
      <w:r w:rsidRPr="00301889">
        <w:rPr>
          <w:rFonts w:ascii="Arial" w:hAnsi="Arial" w:cs="Arial"/>
          <w:sz w:val="20"/>
          <w:szCs w:val="20"/>
        </w:rPr>
        <w:t>were</w:t>
      </w:r>
      <w:r w:rsidR="00A056BF" w:rsidRPr="00301889">
        <w:rPr>
          <w:rFonts w:ascii="Arial" w:hAnsi="Arial" w:cs="Arial"/>
          <w:sz w:val="20"/>
          <w:szCs w:val="20"/>
        </w:rPr>
        <w:t xml:space="preserve"> evaluable for long-term durability</w:t>
      </w:r>
      <w:r w:rsidRPr="00301889">
        <w:rPr>
          <w:rFonts w:ascii="Arial" w:hAnsi="Arial" w:cs="Arial"/>
          <w:sz w:val="20"/>
          <w:szCs w:val="20"/>
        </w:rPr>
        <w:t xml:space="preserve"> of whom </w:t>
      </w:r>
      <w:r w:rsidR="00A056BF" w:rsidRPr="00301889">
        <w:rPr>
          <w:rFonts w:ascii="Arial" w:hAnsi="Arial" w:cs="Arial"/>
          <w:sz w:val="20"/>
          <w:szCs w:val="20"/>
        </w:rPr>
        <w:t xml:space="preserve">8 experienced a new CDI episode </w:t>
      </w:r>
      <w:r w:rsidR="00842C45">
        <w:rPr>
          <w:rFonts w:ascii="Arial" w:hAnsi="Arial" w:cs="Arial"/>
          <w:sz w:val="20"/>
          <w:szCs w:val="20"/>
        </w:rPr>
        <w:t>between 8 weeks and</w:t>
      </w:r>
      <w:r w:rsidR="00A056BF" w:rsidRPr="00301889">
        <w:rPr>
          <w:rFonts w:ascii="Arial" w:hAnsi="Arial" w:cs="Arial"/>
          <w:sz w:val="20"/>
          <w:szCs w:val="20"/>
        </w:rPr>
        <w:t xml:space="preserve"> 24-month</w:t>
      </w:r>
      <w:r w:rsidR="00842C45">
        <w:rPr>
          <w:rFonts w:ascii="Arial" w:hAnsi="Arial" w:cs="Arial"/>
          <w:sz w:val="20"/>
          <w:szCs w:val="20"/>
        </w:rPr>
        <w:t>s</w:t>
      </w:r>
      <w:r w:rsidR="00A056BF" w:rsidRPr="00301889">
        <w:rPr>
          <w:rFonts w:ascii="Arial" w:hAnsi="Arial" w:cs="Arial"/>
          <w:sz w:val="20"/>
          <w:szCs w:val="20"/>
        </w:rPr>
        <w:t xml:space="preserve"> </w:t>
      </w:r>
      <w:r w:rsidRPr="00301889">
        <w:rPr>
          <w:rFonts w:ascii="Arial" w:hAnsi="Arial" w:cs="Arial"/>
          <w:sz w:val="20"/>
          <w:szCs w:val="20"/>
        </w:rPr>
        <w:t xml:space="preserve">(92% </w:t>
      </w:r>
      <w:r w:rsidR="00A056BF" w:rsidRPr="00301889">
        <w:rPr>
          <w:rFonts w:ascii="Arial" w:hAnsi="Arial" w:cs="Arial"/>
          <w:sz w:val="20"/>
          <w:szCs w:val="20"/>
        </w:rPr>
        <w:t>overall durability</w:t>
      </w:r>
      <w:r w:rsidRPr="00301889">
        <w:rPr>
          <w:rFonts w:ascii="Arial" w:hAnsi="Arial" w:cs="Arial"/>
          <w:sz w:val="20"/>
          <w:szCs w:val="20"/>
        </w:rPr>
        <w:t xml:space="preserve">). </w:t>
      </w:r>
      <w:r w:rsidRPr="00301889">
        <w:rPr>
          <w:rFonts w:ascii="Arial" w:hAnsi="Arial" w:cs="Arial"/>
          <w:bCs/>
          <w:sz w:val="20"/>
          <w:szCs w:val="20"/>
        </w:rPr>
        <w:t xml:space="preserve">Age and sex </w:t>
      </w:r>
      <w:r w:rsidRPr="00301889">
        <w:rPr>
          <w:rFonts w:ascii="Arial" w:hAnsi="Arial" w:cs="Arial"/>
          <w:sz w:val="20"/>
          <w:szCs w:val="20"/>
        </w:rPr>
        <w:t>did not</w:t>
      </w:r>
      <w:r w:rsidRPr="00301889">
        <w:rPr>
          <w:rFonts w:ascii="Arial" w:hAnsi="Arial" w:cs="Arial"/>
          <w:bCs/>
          <w:sz w:val="20"/>
          <w:szCs w:val="20"/>
        </w:rPr>
        <w:t xml:space="preserve"> have a statistically significant impact on </w:t>
      </w:r>
      <w:r w:rsidR="00842C45">
        <w:rPr>
          <w:rFonts w:ascii="Arial" w:hAnsi="Arial" w:cs="Arial"/>
          <w:bCs/>
          <w:sz w:val="20"/>
          <w:szCs w:val="20"/>
        </w:rPr>
        <w:t xml:space="preserve">primary </w:t>
      </w:r>
      <w:r w:rsidRPr="00301889">
        <w:rPr>
          <w:rFonts w:ascii="Arial" w:hAnsi="Arial" w:cs="Arial"/>
          <w:bCs/>
          <w:sz w:val="20"/>
          <w:szCs w:val="20"/>
        </w:rPr>
        <w:t>efficacy or durability</w:t>
      </w:r>
      <w:r w:rsidRPr="00301889">
        <w:rPr>
          <w:rFonts w:ascii="Arial" w:hAnsi="Arial" w:cs="Arial"/>
          <w:sz w:val="20"/>
          <w:szCs w:val="20"/>
        </w:rPr>
        <w:t xml:space="preserve">. </w:t>
      </w:r>
      <w:r w:rsidR="0018554B" w:rsidRPr="00301889">
        <w:rPr>
          <w:rFonts w:ascii="Arial" w:hAnsi="Arial" w:cs="Arial"/>
          <w:bCs/>
          <w:sz w:val="20"/>
          <w:szCs w:val="20"/>
        </w:rPr>
        <w:t xml:space="preserve">The </w:t>
      </w:r>
      <w:r w:rsidR="0018554B" w:rsidRPr="00301889">
        <w:rPr>
          <w:rFonts w:ascii="Arial" w:hAnsi="Arial" w:cs="Arial"/>
          <w:sz w:val="20"/>
          <w:szCs w:val="20"/>
        </w:rPr>
        <w:t xml:space="preserve">safety </w:t>
      </w:r>
      <w:r w:rsidR="0018554B">
        <w:rPr>
          <w:rFonts w:ascii="Arial" w:hAnsi="Arial" w:cs="Arial"/>
          <w:sz w:val="20"/>
          <w:szCs w:val="20"/>
        </w:rPr>
        <w:t xml:space="preserve">profile of RBX2660 was acceptable up to </w:t>
      </w:r>
      <w:r w:rsidR="0018554B" w:rsidRPr="00301889">
        <w:rPr>
          <w:rFonts w:ascii="Arial" w:hAnsi="Arial" w:cs="Arial"/>
          <w:sz w:val="20"/>
          <w:szCs w:val="20"/>
        </w:rPr>
        <w:t>24 months</w:t>
      </w:r>
      <w:r w:rsidR="0018554B">
        <w:rPr>
          <w:rFonts w:ascii="Arial" w:hAnsi="Arial" w:cs="Arial"/>
          <w:sz w:val="20"/>
          <w:szCs w:val="20"/>
        </w:rPr>
        <w:t xml:space="preserve"> and consistent with prior reports of microbiota-directed treatments; gastrointestinal disorders were the most common TEAE organ class. </w:t>
      </w:r>
      <w:r w:rsidR="00A056BF" w:rsidRPr="00301889">
        <w:rPr>
          <w:rFonts w:ascii="Arial" w:hAnsi="Arial" w:cs="Arial"/>
          <w:sz w:val="20"/>
          <w:szCs w:val="20"/>
        </w:rPr>
        <w:t xml:space="preserve">Microbiome analysis </w:t>
      </w:r>
      <w:r w:rsidRPr="00301889">
        <w:rPr>
          <w:rFonts w:ascii="Arial" w:hAnsi="Arial" w:cs="Arial"/>
          <w:sz w:val="20"/>
          <w:szCs w:val="20"/>
        </w:rPr>
        <w:t>(</w:t>
      </w:r>
      <w:r w:rsidR="00A056BF" w:rsidRPr="00301889">
        <w:rPr>
          <w:rFonts w:ascii="Arial" w:hAnsi="Arial" w:cs="Arial"/>
          <w:sz w:val="20"/>
          <w:szCs w:val="20"/>
        </w:rPr>
        <w:t xml:space="preserve">503 </w:t>
      </w:r>
      <w:r w:rsidR="00A056BF" w:rsidRPr="00301889">
        <w:rPr>
          <w:rFonts w:ascii="Arial" w:hAnsi="Arial" w:cs="Arial"/>
          <w:bCs/>
          <w:sz w:val="20"/>
          <w:szCs w:val="20"/>
        </w:rPr>
        <w:t xml:space="preserve">samples from 110 </w:t>
      </w:r>
      <w:r w:rsidR="00F242C3" w:rsidRPr="00301889">
        <w:rPr>
          <w:rFonts w:ascii="Arial" w:hAnsi="Arial" w:cs="Arial"/>
          <w:bCs/>
          <w:sz w:val="20"/>
          <w:szCs w:val="20"/>
        </w:rPr>
        <w:t xml:space="preserve">primary </w:t>
      </w:r>
      <w:r w:rsidR="00A056BF" w:rsidRPr="00301889">
        <w:rPr>
          <w:rFonts w:ascii="Arial" w:hAnsi="Arial" w:cs="Arial"/>
          <w:bCs/>
          <w:sz w:val="20"/>
          <w:szCs w:val="20"/>
        </w:rPr>
        <w:t>treatment responder</w:t>
      </w:r>
      <w:r w:rsidRPr="00301889">
        <w:rPr>
          <w:rFonts w:ascii="Arial" w:hAnsi="Arial" w:cs="Arial"/>
          <w:bCs/>
          <w:sz w:val="20"/>
          <w:szCs w:val="20"/>
        </w:rPr>
        <w:t>s)</w:t>
      </w:r>
      <w:r w:rsidR="00A056BF" w:rsidRPr="00301889">
        <w:rPr>
          <w:rFonts w:ascii="Arial" w:hAnsi="Arial" w:cs="Arial"/>
          <w:bCs/>
          <w:sz w:val="20"/>
          <w:szCs w:val="20"/>
        </w:rPr>
        <w:t xml:space="preserve"> showed that the relative abundance of Bacteroidia and Clostridia </w:t>
      </w:r>
      <w:r w:rsidR="00842C45">
        <w:rPr>
          <w:rFonts w:ascii="Arial" w:hAnsi="Arial" w:cs="Arial"/>
          <w:bCs/>
          <w:sz w:val="20"/>
          <w:szCs w:val="20"/>
        </w:rPr>
        <w:t>increased</w:t>
      </w:r>
      <w:r w:rsidR="00842C45" w:rsidRPr="00301889">
        <w:rPr>
          <w:rFonts w:ascii="Arial" w:hAnsi="Arial" w:cs="Arial"/>
          <w:bCs/>
          <w:sz w:val="20"/>
          <w:szCs w:val="20"/>
        </w:rPr>
        <w:t xml:space="preserve"> </w:t>
      </w:r>
      <w:r w:rsidR="00A056BF" w:rsidRPr="00301889">
        <w:rPr>
          <w:rFonts w:ascii="Arial" w:hAnsi="Arial" w:cs="Arial"/>
          <w:bCs/>
          <w:sz w:val="20"/>
          <w:szCs w:val="20"/>
        </w:rPr>
        <w:t>significantly within 7 days of treatment relative to baseline</w:t>
      </w:r>
      <w:r w:rsidR="00842C45">
        <w:rPr>
          <w:rFonts w:ascii="Arial" w:hAnsi="Arial" w:cs="Arial"/>
          <w:bCs/>
          <w:sz w:val="20"/>
          <w:szCs w:val="20"/>
        </w:rPr>
        <w:t>, concomitant with a decrease of</w:t>
      </w:r>
      <w:r w:rsidR="00A056BF" w:rsidRPr="00301889">
        <w:rPr>
          <w:rFonts w:ascii="Arial" w:hAnsi="Arial" w:cs="Arial"/>
          <w:bCs/>
          <w:sz w:val="20"/>
          <w:szCs w:val="20"/>
        </w:rPr>
        <w:t xml:space="preserve"> Gammaproteobacteria and Bacilli</w:t>
      </w:r>
      <w:r w:rsidRPr="00301889">
        <w:rPr>
          <w:rFonts w:ascii="Arial" w:hAnsi="Arial" w:cs="Arial"/>
          <w:bCs/>
          <w:sz w:val="20"/>
          <w:szCs w:val="20"/>
        </w:rPr>
        <w:t xml:space="preserve">, with maintenance of these changes </w:t>
      </w:r>
      <w:r w:rsidR="00842C45">
        <w:rPr>
          <w:rFonts w:ascii="Arial" w:hAnsi="Arial" w:cs="Arial"/>
          <w:bCs/>
          <w:sz w:val="20"/>
          <w:szCs w:val="20"/>
        </w:rPr>
        <w:t>throug</w:t>
      </w:r>
      <w:r w:rsidR="0028421C">
        <w:rPr>
          <w:rFonts w:ascii="Arial" w:hAnsi="Arial" w:cs="Arial"/>
          <w:bCs/>
          <w:sz w:val="20"/>
          <w:szCs w:val="20"/>
        </w:rPr>
        <w:t>h</w:t>
      </w:r>
      <w:r w:rsidR="00842C45">
        <w:rPr>
          <w:rFonts w:ascii="Arial" w:hAnsi="Arial" w:cs="Arial"/>
          <w:bCs/>
          <w:sz w:val="20"/>
          <w:szCs w:val="20"/>
        </w:rPr>
        <w:t>out</w:t>
      </w:r>
      <w:r w:rsidR="0028421C">
        <w:rPr>
          <w:rFonts w:ascii="Arial" w:hAnsi="Arial" w:cs="Arial"/>
          <w:bCs/>
          <w:sz w:val="20"/>
          <w:szCs w:val="20"/>
        </w:rPr>
        <w:t xml:space="preserve"> </w:t>
      </w:r>
      <w:r w:rsidR="00A056BF" w:rsidRPr="00301889">
        <w:rPr>
          <w:rFonts w:ascii="Arial" w:hAnsi="Arial" w:cs="Arial"/>
          <w:bCs/>
          <w:sz w:val="20"/>
          <w:szCs w:val="20"/>
        </w:rPr>
        <w:t xml:space="preserve">24 months. </w:t>
      </w:r>
    </w:p>
    <w:p w14:paraId="5BE6236F" w14:textId="77777777" w:rsidR="00FF728C" w:rsidRDefault="00FF728C" w:rsidP="00A056BF">
      <w:pPr>
        <w:pStyle w:val="NormalWeb"/>
        <w:spacing w:before="0" w:beforeAutospacing="0" w:after="0" w:afterAutospacing="0"/>
        <w:rPr>
          <w:rFonts w:ascii="Arial" w:hAnsi="Arial" w:cs="Arial"/>
          <w:b/>
          <w:color w:val="000000"/>
          <w:sz w:val="20"/>
          <w:szCs w:val="20"/>
        </w:rPr>
      </w:pPr>
    </w:p>
    <w:p w14:paraId="26EA30C4" w14:textId="77777777" w:rsidR="004E7F8E" w:rsidRPr="00A056BF" w:rsidRDefault="004E7F8E" w:rsidP="00A056BF">
      <w:pPr>
        <w:pStyle w:val="NormalWeb"/>
        <w:spacing w:before="0" w:beforeAutospacing="0" w:after="0" w:afterAutospacing="0"/>
        <w:rPr>
          <w:rFonts w:ascii="Arial" w:hAnsi="Arial" w:cs="Arial"/>
          <w:b/>
          <w:color w:val="000000"/>
          <w:sz w:val="20"/>
          <w:szCs w:val="20"/>
        </w:rPr>
      </w:pPr>
      <w:r w:rsidRPr="00A056BF">
        <w:rPr>
          <w:rFonts w:ascii="Arial" w:hAnsi="Arial" w:cs="Arial"/>
          <w:b/>
          <w:color w:val="000000"/>
          <w:sz w:val="20"/>
          <w:szCs w:val="20"/>
        </w:rPr>
        <w:t>Conclusion</w:t>
      </w:r>
    </w:p>
    <w:p w14:paraId="015DA812" w14:textId="77777777" w:rsidR="00E030F1" w:rsidRPr="009B71F3" w:rsidRDefault="00FF728C" w:rsidP="009B71F3">
      <w:pPr>
        <w:pStyle w:val="NormalWeb"/>
        <w:spacing w:before="0" w:beforeAutospacing="0" w:after="0" w:afterAutospacing="0" w:line="276" w:lineRule="auto"/>
        <w:rPr>
          <w:rFonts w:ascii="Arial" w:hAnsi="Arial" w:cs="Arial"/>
          <w:color w:val="000000"/>
          <w:sz w:val="20"/>
          <w:szCs w:val="20"/>
        </w:rPr>
      </w:pPr>
      <w:r>
        <w:rPr>
          <w:rFonts w:ascii="Arial" w:hAnsi="Arial" w:cs="Arial"/>
          <w:sz w:val="20"/>
          <w:szCs w:val="20"/>
        </w:rPr>
        <w:t xml:space="preserve">The microbiota-based drug </w:t>
      </w:r>
      <w:r w:rsidRPr="00E31827">
        <w:rPr>
          <w:rFonts w:ascii="Arial" w:hAnsi="Arial" w:cs="Arial"/>
          <w:sz w:val="20"/>
          <w:szCs w:val="20"/>
        </w:rPr>
        <w:t xml:space="preserve">RBX2660 </w:t>
      </w:r>
      <w:r>
        <w:rPr>
          <w:rFonts w:ascii="Arial" w:hAnsi="Arial" w:cs="Arial"/>
          <w:sz w:val="20"/>
          <w:szCs w:val="20"/>
        </w:rPr>
        <w:t>demonstrated clinical durability in</w:t>
      </w:r>
      <w:r w:rsidRPr="00E31827">
        <w:rPr>
          <w:rFonts w:ascii="Arial" w:hAnsi="Arial" w:cs="Arial"/>
          <w:sz w:val="20"/>
          <w:szCs w:val="20"/>
        </w:rPr>
        <w:t xml:space="preserve"> preventing rCDI</w:t>
      </w:r>
      <w:r>
        <w:rPr>
          <w:rFonts w:ascii="Arial" w:hAnsi="Arial" w:cs="Arial"/>
          <w:sz w:val="20"/>
          <w:szCs w:val="20"/>
        </w:rPr>
        <w:t xml:space="preserve"> at 24 months.  This maintained efficacy was associated with sustained</w:t>
      </w:r>
      <w:r w:rsidRPr="00E31827">
        <w:rPr>
          <w:rFonts w:ascii="Arial" w:hAnsi="Arial" w:cs="Arial"/>
          <w:sz w:val="20"/>
          <w:szCs w:val="20"/>
        </w:rPr>
        <w:t xml:space="preserve"> shifts in microbiome composition </w:t>
      </w:r>
      <w:r>
        <w:rPr>
          <w:rFonts w:ascii="Arial" w:hAnsi="Arial" w:cs="Arial"/>
          <w:sz w:val="20"/>
          <w:szCs w:val="20"/>
        </w:rPr>
        <w:t>following</w:t>
      </w:r>
      <w:r w:rsidRPr="00E31827">
        <w:rPr>
          <w:rFonts w:ascii="Arial" w:hAnsi="Arial" w:cs="Arial"/>
          <w:sz w:val="20"/>
          <w:szCs w:val="20"/>
        </w:rPr>
        <w:t xml:space="preserve"> treatment. Importantly, neither efficacy nor durability was dependent on age or sex</w:t>
      </w:r>
      <w:r w:rsidRPr="00E31827">
        <w:rPr>
          <w:rFonts w:ascii="Arial" w:hAnsi="Arial" w:cs="Arial"/>
          <w:bCs/>
          <w:sz w:val="20"/>
          <w:szCs w:val="20"/>
        </w:rPr>
        <w:t>.</w:t>
      </w:r>
    </w:p>
    <w:p w14:paraId="01057E5A" w14:textId="77777777" w:rsidR="00FF728C" w:rsidRDefault="00FF728C" w:rsidP="009B71F3">
      <w:pPr>
        <w:pStyle w:val="NormalWeb"/>
        <w:spacing w:before="0" w:beforeAutospacing="0" w:after="0" w:afterAutospacing="0" w:line="276" w:lineRule="auto"/>
        <w:rPr>
          <w:rFonts w:ascii="Arial" w:hAnsi="Arial" w:cs="Arial"/>
          <w:color w:val="000000"/>
          <w:sz w:val="20"/>
          <w:szCs w:val="20"/>
        </w:rPr>
      </w:pPr>
    </w:p>
    <w:p w14:paraId="364319AE" w14:textId="77777777" w:rsidR="009B71F3" w:rsidRPr="009B71F3" w:rsidRDefault="009B71F3" w:rsidP="009B71F3">
      <w:pPr>
        <w:pStyle w:val="NormalWeb"/>
        <w:spacing w:before="0" w:beforeAutospacing="0" w:after="0" w:afterAutospacing="0" w:line="276" w:lineRule="auto"/>
        <w:rPr>
          <w:rFonts w:ascii="Arial" w:hAnsi="Arial" w:cs="Arial"/>
          <w:color w:val="000000"/>
          <w:sz w:val="20"/>
          <w:szCs w:val="20"/>
        </w:rPr>
      </w:pPr>
    </w:p>
    <w:p w14:paraId="473CF310" w14:textId="77777777" w:rsidR="00354E5B" w:rsidRPr="009B71F3" w:rsidRDefault="004E7F8E" w:rsidP="009B71F3">
      <w:pPr>
        <w:pStyle w:val="NormalWeb"/>
        <w:spacing w:before="0" w:beforeAutospacing="0" w:after="0" w:afterAutospacing="0" w:line="276" w:lineRule="auto"/>
        <w:rPr>
          <w:rFonts w:ascii="Arial" w:hAnsi="Arial" w:cs="Arial"/>
          <w:color w:val="000000"/>
          <w:sz w:val="20"/>
          <w:szCs w:val="20"/>
        </w:rPr>
      </w:pPr>
      <w:r w:rsidRPr="009B71F3">
        <w:rPr>
          <w:rFonts w:ascii="Arial" w:hAnsi="Arial" w:cs="Arial"/>
          <w:color w:val="000000"/>
          <w:sz w:val="20"/>
          <w:szCs w:val="20"/>
        </w:rPr>
        <w:t xml:space="preserve">Keywords: </w:t>
      </w:r>
      <w:r w:rsidR="00B558C5" w:rsidRPr="009B71F3">
        <w:rPr>
          <w:rFonts w:ascii="Arial" w:hAnsi="Arial" w:cs="Arial"/>
          <w:color w:val="000000"/>
          <w:sz w:val="20"/>
          <w:szCs w:val="20"/>
        </w:rPr>
        <w:t xml:space="preserve">recurrent </w:t>
      </w:r>
      <w:r w:rsidRPr="009B71F3">
        <w:rPr>
          <w:rFonts w:ascii="Arial" w:hAnsi="Arial" w:cs="Arial"/>
          <w:i/>
          <w:color w:val="000000"/>
          <w:sz w:val="20"/>
          <w:szCs w:val="20"/>
        </w:rPr>
        <w:t>Clostridi</w:t>
      </w:r>
      <w:r w:rsidR="00FF728C">
        <w:rPr>
          <w:rFonts w:ascii="Arial" w:hAnsi="Arial" w:cs="Arial"/>
          <w:i/>
          <w:color w:val="000000"/>
          <w:sz w:val="20"/>
          <w:szCs w:val="20"/>
        </w:rPr>
        <w:t>oides</w:t>
      </w:r>
      <w:r w:rsidRPr="009B71F3">
        <w:rPr>
          <w:rFonts w:ascii="Arial" w:hAnsi="Arial" w:cs="Arial"/>
          <w:i/>
          <w:color w:val="000000"/>
          <w:sz w:val="20"/>
          <w:szCs w:val="20"/>
        </w:rPr>
        <w:t xml:space="preserve"> difficile</w:t>
      </w:r>
      <w:r w:rsidRPr="009B71F3">
        <w:rPr>
          <w:rFonts w:ascii="Arial" w:hAnsi="Arial" w:cs="Arial"/>
          <w:color w:val="000000"/>
          <w:sz w:val="20"/>
          <w:szCs w:val="20"/>
        </w:rPr>
        <w:t xml:space="preserve"> infection, </w:t>
      </w:r>
      <w:r w:rsidR="00B558C5" w:rsidRPr="009B71F3">
        <w:rPr>
          <w:rFonts w:ascii="Arial" w:hAnsi="Arial" w:cs="Arial"/>
          <w:color w:val="000000"/>
          <w:sz w:val="20"/>
          <w:szCs w:val="20"/>
        </w:rPr>
        <w:t>microbiome restoration, microbiota-based drug</w:t>
      </w:r>
      <w:r w:rsidR="005E7752" w:rsidRPr="009B71F3">
        <w:rPr>
          <w:rFonts w:ascii="Arial" w:hAnsi="Arial" w:cs="Arial"/>
          <w:color w:val="000000"/>
          <w:sz w:val="20"/>
          <w:szCs w:val="20"/>
        </w:rPr>
        <w:t xml:space="preserve">, </w:t>
      </w:r>
      <w:r w:rsidR="00FF728C">
        <w:rPr>
          <w:rFonts w:ascii="Arial" w:hAnsi="Arial" w:cs="Arial"/>
          <w:color w:val="000000"/>
          <w:sz w:val="20"/>
          <w:szCs w:val="20"/>
        </w:rPr>
        <w:t>RBX2660, Phase 2 clinical trial</w:t>
      </w:r>
    </w:p>
    <w:p w14:paraId="08459843" w14:textId="77777777" w:rsidR="00B558C5" w:rsidRPr="009B71F3" w:rsidRDefault="00B558C5" w:rsidP="009B71F3">
      <w:pPr>
        <w:pStyle w:val="NormalWeb"/>
        <w:spacing w:before="0" w:beforeAutospacing="0" w:after="0" w:afterAutospacing="0" w:line="276" w:lineRule="auto"/>
        <w:rPr>
          <w:rFonts w:ascii="Arial" w:hAnsi="Arial" w:cs="Arial"/>
          <w:b/>
          <w:color w:val="7B7B7B" w:themeColor="accent3" w:themeShade="BF"/>
          <w:sz w:val="20"/>
          <w:szCs w:val="20"/>
        </w:rPr>
      </w:pPr>
    </w:p>
    <w:p w14:paraId="70EF07F2" w14:textId="77777777" w:rsidR="00B558C5" w:rsidRPr="009B71F3" w:rsidRDefault="00B558C5" w:rsidP="009B71F3">
      <w:pPr>
        <w:pStyle w:val="NormalWeb"/>
        <w:spacing w:before="0" w:beforeAutospacing="0" w:after="0" w:afterAutospacing="0" w:line="276" w:lineRule="auto"/>
        <w:rPr>
          <w:rFonts w:ascii="Arial" w:hAnsi="Arial" w:cs="Arial"/>
          <w:b/>
          <w:color w:val="7B7B7B" w:themeColor="accent3" w:themeShade="BF"/>
          <w:sz w:val="20"/>
          <w:szCs w:val="20"/>
        </w:rPr>
      </w:pPr>
      <w:r w:rsidRPr="009B71F3">
        <w:rPr>
          <w:rFonts w:ascii="Arial" w:hAnsi="Arial" w:cs="Arial"/>
          <w:b/>
          <w:color w:val="7B7B7B" w:themeColor="accent3" w:themeShade="BF"/>
          <w:sz w:val="20"/>
          <w:szCs w:val="20"/>
        </w:rPr>
        <w:t xml:space="preserve">CURRENT CHARACTER COUNT </w:t>
      </w:r>
      <w:r w:rsidR="009B71F3" w:rsidRPr="009B71F3">
        <w:rPr>
          <w:rFonts w:ascii="Arial" w:hAnsi="Arial" w:cs="Arial"/>
          <w:b/>
          <w:color w:val="7B7B7B" w:themeColor="accent3" w:themeShade="BF"/>
          <w:sz w:val="20"/>
          <w:szCs w:val="20"/>
        </w:rPr>
        <w:t>(including spaces)</w:t>
      </w:r>
      <w:r w:rsidR="00FF728C">
        <w:rPr>
          <w:rFonts w:ascii="Arial" w:hAnsi="Arial" w:cs="Arial"/>
          <w:b/>
          <w:color w:val="7B7B7B" w:themeColor="accent3" w:themeShade="BF"/>
          <w:sz w:val="20"/>
          <w:szCs w:val="20"/>
        </w:rPr>
        <w:t xml:space="preserve"> </w:t>
      </w:r>
      <w:r w:rsidRPr="009B71F3">
        <w:rPr>
          <w:rFonts w:ascii="Arial" w:hAnsi="Arial" w:cs="Arial"/>
          <w:b/>
          <w:color w:val="7B7B7B" w:themeColor="accent3" w:themeShade="BF"/>
          <w:sz w:val="20"/>
          <w:szCs w:val="20"/>
        </w:rPr>
        <w:t>=</w:t>
      </w:r>
      <w:r w:rsidR="00FF728C">
        <w:rPr>
          <w:rFonts w:ascii="Arial" w:hAnsi="Arial" w:cs="Arial"/>
          <w:b/>
          <w:color w:val="7B7B7B" w:themeColor="accent3" w:themeShade="BF"/>
          <w:sz w:val="20"/>
          <w:szCs w:val="20"/>
        </w:rPr>
        <w:t xml:space="preserve"> </w:t>
      </w:r>
      <w:r w:rsidR="009B71F3" w:rsidRPr="009B71F3">
        <w:rPr>
          <w:rFonts w:ascii="Arial" w:hAnsi="Arial" w:cs="Arial"/>
          <w:b/>
          <w:color w:val="7B7B7B" w:themeColor="accent3" w:themeShade="BF"/>
          <w:sz w:val="20"/>
          <w:szCs w:val="20"/>
        </w:rPr>
        <w:t>2</w:t>
      </w:r>
      <w:r w:rsidR="00FF728C">
        <w:rPr>
          <w:rFonts w:ascii="Arial" w:hAnsi="Arial" w:cs="Arial"/>
          <w:b/>
          <w:color w:val="7B7B7B" w:themeColor="accent3" w:themeShade="BF"/>
          <w:sz w:val="20"/>
          <w:szCs w:val="20"/>
        </w:rPr>
        <w:t>518</w:t>
      </w:r>
      <w:r w:rsidRPr="009B71F3">
        <w:rPr>
          <w:rFonts w:ascii="Arial" w:hAnsi="Arial" w:cs="Arial"/>
          <w:b/>
          <w:color w:val="7B7B7B" w:themeColor="accent3" w:themeShade="BF"/>
          <w:sz w:val="20"/>
          <w:szCs w:val="20"/>
        </w:rPr>
        <w:t xml:space="preserve"> of 3600 allowed</w:t>
      </w:r>
    </w:p>
    <w:sectPr w:rsidR="00B558C5" w:rsidRPr="009B71F3" w:rsidSect="00B558C5">
      <w:pgSz w:w="12240" w:h="15840"/>
      <w:pgMar w:top="729" w:right="1440" w:bottom="6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7D73" w14:textId="77777777" w:rsidR="00AF3D0D" w:rsidRDefault="00AF3D0D" w:rsidP="00CA0563">
      <w:r>
        <w:separator/>
      </w:r>
    </w:p>
  </w:endnote>
  <w:endnote w:type="continuationSeparator" w:id="0">
    <w:p w14:paraId="5650B93A" w14:textId="77777777" w:rsidR="00AF3D0D" w:rsidRDefault="00AF3D0D" w:rsidP="00CA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817D8" w14:textId="77777777" w:rsidR="00AF3D0D" w:rsidRDefault="00AF3D0D" w:rsidP="00CA0563">
      <w:r>
        <w:separator/>
      </w:r>
    </w:p>
  </w:footnote>
  <w:footnote w:type="continuationSeparator" w:id="0">
    <w:p w14:paraId="118C33A4" w14:textId="77777777" w:rsidR="00AF3D0D" w:rsidRDefault="00AF3D0D" w:rsidP="00CA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E66C5"/>
    <w:multiLevelType w:val="hybridMultilevel"/>
    <w:tmpl w:val="8CA8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8E"/>
    <w:rsid w:val="00022240"/>
    <w:rsid w:val="00042960"/>
    <w:rsid w:val="00062B51"/>
    <w:rsid w:val="00063159"/>
    <w:rsid w:val="00115016"/>
    <w:rsid w:val="0012045B"/>
    <w:rsid w:val="00185054"/>
    <w:rsid w:val="0018554B"/>
    <w:rsid w:val="001F45D9"/>
    <w:rsid w:val="0028421C"/>
    <w:rsid w:val="002A1F6A"/>
    <w:rsid w:val="00301889"/>
    <w:rsid w:val="003330F5"/>
    <w:rsid w:val="003418A4"/>
    <w:rsid w:val="00354E5B"/>
    <w:rsid w:val="003879BD"/>
    <w:rsid w:val="003E477B"/>
    <w:rsid w:val="004E7F8E"/>
    <w:rsid w:val="005279C0"/>
    <w:rsid w:val="00545557"/>
    <w:rsid w:val="00551C9A"/>
    <w:rsid w:val="005E7752"/>
    <w:rsid w:val="00644C46"/>
    <w:rsid w:val="00681F87"/>
    <w:rsid w:val="0069448F"/>
    <w:rsid w:val="00770C8C"/>
    <w:rsid w:val="007D387E"/>
    <w:rsid w:val="00806AC2"/>
    <w:rsid w:val="00842C45"/>
    <w:rsid w:val="008728A9"/>
    <w:rsid w:val="008A7915"/>
    <w:rsid w:val="0090380C"/>
    <w:rsid w:val="00923640"/>
    <w:rsid w:val="00930305"/>
    <w:rsid w:val="00977EC1"/>
    <w:rsid w:val="009A46F1"/>
    <w:rsid w:val="009A67FA"/>
    <w:rsid w:val="009B71F3"/>
    <w:rsid w:val="009E5082"/>
    <w:rsid w:val="00A056BF"/>
    <w:rsid w:val="00A15398"/>
    <w:rsid w:val="00A52488"/>
    <w:rsid w:val="00A63842"/>
    <w:rsid w:val="00AA54F1"/>
    <w:rsid w:val="00AB6C80"/>
    <w:rsid w:val="00AF3D0D"/>
    <w:rsid w:val="00B558C5"/>
    <w:rsid w:val="00BB34A1"/>
    <w:rsid w:val="00BC1293"/>
    <w:rsid w:val="00BD27A2"/>
    <w:rsid w:val="00C02D18"/>
    <w:rsid w:val="00C211A4"/>
    <w:rsid w:val="00C305BE"/>
    <w:rsid w:val="00C659BB"/>
    <w:rsid w:val="00C72D31"/>
    <w:rsid w:val="00CA0563"/>
    <w:rsid w:val="00CE2573"/>
    <w:rsid w:val="00D6597B"/>
    <w:rsid w:val="00DA4A27"/>
    <w:rsid w:val="00DB45F8"/>
    <w:rsid w:val="00E030F1"/>
    <w:rsid w:val="00E17005"/>
    <w:rsid w:val="00E65C63"/>
    <w:rsid w:val="00F242C3"/>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64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F8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030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0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18A4"/>
    <w:rPr>
      <w:sz w:val="18"/>
      <w:szCs w:val="18"/>
    </w:rPr>
  </w:style>
  <w:style w:type="paragraph" w:styleId="CommentText">
    <w:name w:val="annotation text"/>
    <w:basedOn w:val="Normal"/>
    <w:link w:val="CommentTextChar"/>
    <w:uiPriority w:val="99"/>
    <w:semiHidden/>
    <w:unhideWhenUsed/>
    <w:rsid w:val="003418A4"/>
  </w:style>
  <w:style w:type="character" w:customStyle="1" w:styleId="CommentTextChar">
    <w:name w:val="Comment Text Char"/>
    <w:basedOn w:val="DefaultParagraphFont"/>
    <w:link w:val="CommentText"/>
    <w:uiPriority w:val="99"/>
    <w:semiHidden/>
    <w:rsid w:val="003418A4"/>
  </w:style>
  <w:style w:type="paragraph" w:styleId="CommentSubject">
    <w:name w:val="annotation subject"/>
    <w:basedOn w:val="CommentText"/>
    <w:next w:val="CommentText"/>
    <w:link w:val="CommentSubjectChar"/>
    <w:uiPriority w:val="99"/>
    <w:semiHidden/>
    <w:unhideWhenUsed/>
    <w:rsid w:val="003418A4"/>
    <w:rPr>
      <w:b/>
      <w:bCs/>
      <w:sz w:val="20"/>
      <w:szCs w:val="20"/>
    </w:rPr>
  </w:style>
  <w:style w:type="character" w:customStyle="1" w:styleId="CommentSubjectChar">
    <w:name w:val="Comment Subject Char"/>
    <w:basedOn w:val="CommentTextChar"/>
    <w:link w:val="CommentSubject"/>
    <w:uiPriority w:val="99"/>
    <w:semiHidden/>
    <w:rsid w:val="003418A4"/>
    <w:rPr>
      <w:b/>
      <w:bCs/>
      <w:sz w:val="20"/>
      <w:szCs w:val="20"/>
    </w:rPr>
  </w:style>
  <w:style w:type="paragraph" w:styleId="ListParagraph">
    <w:name w:val="List Paragraph"/>
    <w:basedOn w:val="Normal"/>
    <w:uiPriority w:val="34"/>
    <w:qFormat/>
    <w:rsid w:val="009B71F3"/>
    <w:pPr>
      <w:ind w:left="720"/>
      <w:contextualSpacing/>
    </w:pPr>
  </w:style>
  <w:style w:type="paragraph" w:styleId="Header">
    <w:name w:val="header"/>
    <w:basedOn w:val="Normal"/>
    <w:link w:val="HeaderChar"/>
    <w:uiPriority w:val="99"/>
    <w:unhideWhenUsed/>
    <w:rsid w:val="00CA0563"/>
    <w:pPr>
      <w:tabs>
        <w:tab w:val="center" w:pos="4680"/>
        <w:tab w:val="right" w:pos="9360"/>
      </w:tabs>
    </w:pPr>
  </w:style>
  <w:style w:type="character" w:customStyle="1" w:styleId="HeaderChar">
    <w:name w:val="Header Char"/>
    <w:basedOn w:val="DefaultParagraphFont"/>
    <w:link w:val="Header"/>
    <w:uiPriority w:val="99"/>
    <w:rsid w:val="00CA0563"/>
  </w:style>
  <w:style w:type="paragraph" w:styleId="Footer">
    <w:name w:val="footer"/>
    <w:basedOn w:val="Normal"/>
    <w:link w:val="FooterChar"/>
    <w:uiPriority w:val="99"/>
    <w:unhideWhenUsed/>
    <w:rsid w:val="00CA0563"/>
    <w:pPr>
      <w:tabs>
        <w:tab w:val="center" w:pos="4680"/>
        <w:tab w:val="right" w:pos="9360"/>
      </w:tabs>
    </w:pPr>
  </w:style>
  <w:style w:type="character" w:customStyle="1" w:styleId="FooterChar">
    <w:name w:val="Footer Char"/>
    <w:basedOn w:val="DefaultParagraphFont"/>
    <w:link w:val="Footer"/>
    <w:uiPriority w:val="99"/>
    <w:rsid w:val="00CA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7071">
      <w:bodyDiv w:val="1"/>
      <w:marLeft w:val="0"/>
      <w:marRight w:val="0"/>
      <w:marTop w:val="0"/>
      <w:marBottom w:val="0"/>
      <w:divBdr>
        <w:top w:val="none" w:sz="0" w:space="0" w:color="auto"/>
        <w:left w:val="none" w:sz="0" w:space="0" w:color="auto"/>
        <w:bottom w:val="none" w:sz="0" w:space="0" w:color="auto"/>
        <w:right w:val="none" w:sz="0" w:space="0" w:color="auto"/>
      </w:divBdr>
    </w:div>
    <w:div w:id="448284048">
      <w:bodyDiv w:val="1"/>
      <w:marLeft w:val="0"/>
      <w:marRight w:val="0"/>
      <w:marTop w:val="0"/>
      <w:marBottom w:val="0"/>
      <w:divBdr>
        <w:top w:val="none" w:sz="0" w:space="0" w:color="auto"/>
        <w:left w:val="none" w:sz="0" w:space="0" w:color="auto"/>
        <w:bottom w:val="none" w:sz="0" w:space="0" w:color="auto"/>
        <w:right w:val="none" w:sz="0" w:space="0" w:color="auto"/>
      </w:divBdr>
    </w:div>
    <w:div w:id="1480268347">
      <w:bodyDiv w:val="1"/>
      <w:marLeft w:val="0"/>
      <w:marRight w:val="0"/>
      <w:marTop w:val="0"/>
      <w:marBottom w:val="0"/>
      <w:divBdr>
        <w:top w:val="none" w:sz="0" w:space="0" w:color="auto"/>
        <w:left w:val="none" w:sz="0" w:space="0" w:color="auto"/>
        <w:bottom w:val="none" w:sz="0" w:space="0" w:color="auto"/>
        <w:right w:val="none" w:sz="0" w:space="0" w:color="auto"/>
      </w:divBdr>
    </w:div>
    <w:div w:id="1661928745">
      <w:bodyDiv w:val="1"/>
      <w:marLeft w:val="0"/>
      <w:marRight w:val="0"/>
      <w:marTop w:val="0"/>
      <w:marBottom w:val="0"/>
      <w:divBdr>
        <w:top w:val="none" w:sz="0" w:space="0" w:color="auto"/>
        <w:left w:val="none" w:sz="0" w:space="0" w:color="auto"/>
        <w:bottom w:val="none" w:sz="0" w:space="0" w:color="auto"/>
        <w:right w:val="none" w:sz="0" w:space="0" w:color="auto"/>
      </w:divBdr>
    </w:div>
    <w:div w:id="2020039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D1170E779E741A552CD3DBB0AD206" ma:contentTypeVersion="10" ma:contentTypeDescription="Create a new document." ma:contentTypeScope="" ma:versionID="3d17593803624cc0418fe1fd3ac7979c">
  <xsd:schema xmlns:xsd="http://www.w3.org/2001/XMLSchema" xmlns:xs="http://www.w3.org/2001/XMLSchema" xmlns:p="http://schemas.microsoft.com/office/2006/metadata/properties" xmlns:ns1="http://schemas.microsoft.com/sharepoint/v3" xmlns:ns3="5bae7d12-13eb-4134-a1d8-2ddc8d2534e1" targetNamespace="http://schemas.microsoft.com/office/2006/metadata/properties" ma:root="true" ma:fieldsID="e56a1eacd9ae669cc3d3b8b8e3bed69a" ns1:_="" ns3:_="">
    <xsd:import namespace="http://schemas.microsoft.com/sharepoint/v3"/>
    <xsd:import namespace="5bae7d12-13eb-4134-a1d8-2ddc8d2534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e7d12-13eb-4134-a1d8-2ddc8d253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D07D7-D9AC-4192-8929-5C6BE3D6EB6E}">
  <ds:schemaRefs>
    <ds:schemaRef ds:uri="http://schemas.microsoft.com/sharepoint/v3/contenttype/forms"/>
  </ds:schemaRefs>
</ds:datastoreItem>
</file>

<file path=customXml/itemProps2.xml><?xml version="1.0" encoding="utf-8"?>
<ds:datastoreItem xmlns:ds="http://schemas.openxmlformats.org/officeDocument/2006/customXml" ds:itemID="{DD024490-5D32-4EC7-9F2E-DFED8417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ae7d12-13eb-4134-a1d8-2ddc8d253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C8652-21C3-462D-95C0-91B588433E10}">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5bae7d12-13eb-4134-a1d8-2ddc8d2534e1"/>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E8A256A-1F28-4AAE-A6E7-2EF25590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c:creator>
  <cp:keywords/>
  <dc:description/>
  <cp:lastModifiedBy>Jones, Courtney</cp:lastModifiedBy>
  <cp:revision>2</cp:revision>
  <dcterms:created xsi:type="dcterms:W3CDTF">2020-07-20T12:38:00Z</dcterms:created>
  <dcterms:modified xsi:type="dcterms:W3CDTF">2020-07-20T12:38:00Z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0x01010054ED1170E779E741A552CD3DBB0AD206</vt:lpwstr>
  </property>
</Properties>
</file>