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38C09" w14:textId="697B14AD" w:rsidR="000A3D01" w:rsidRPr="00A26D91" w:rsidRDefault="0018259E" w:rsidP="000A3D0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Style w:val="Hyperlink"/>
          <w:rFonts w:ascii="Arial" w:hAnsi="Arial" w:cs="Arial"/>
          <w:b/>
          <w:bCs/>
          <w:sz w:val="20"/>
          <w:szCs w:val="20"/>
        </w:rPr>
        <w:fldChar w:fldCharType="begin"/>
      </w:r>
      <w:r>
        <w:rPr>
          <w:rStyle w:val="Hyperlink"/>
          <w:rFonts w:ascii="Arial" w:hAnsi="Arial" w:cs="Arial"/>
          <w:b/>
          <w:bCs/>
          <w:sz w:val="20"/>
          <w:szCs w:val="20"/>
        </w:rPr>
        <w:instrText xml:space="preserve"> HYPERLINK "https://idweek.org/presenters/" </w:instrText>
      </w:r>
      <w:r>
        <w:rPr>
          <w:rStyle w:val="Hyperlink"/>
          <w:rFonts w:ascii="Arial" w:hAnsi="Arial" w:cs="Arial"/>
          <w:b/>
          <w:bCs/>
          <w:sz w:val="20"/>
          <w:szCs w:val="20"/>
        </w:rPr>
        <w:fldChar w:fldCharType="separate"/>
      </w:r>
      <w:r w:rsidR="00527B7C">
        <w:rPr>
          <w:rStyle w:val="Hyperlink"/>
          <w:rFonts w:ascii="Arial" w:hAnsi="Arial" w:cs="Arial"/>
          <w:b/>
          <w:bCs/>
          <w:sz w:val="20"/>
          <w:szCs w:val="20"/>
        </w:rPr>
        <w:t xml:space="preserve">Abstract for </w:t>
      </w:r>
      <w:proofErr w:type="spellStart"/>
      <w:r w:rsidR="00527B7C">
        <w:rPr>
          <w:rStyle w:val="Hyperlink"/>
          <w:rFonts w:ascii="Arial" w:hAnsi="Arial" w:cs="Arial"/>
          <w:b/>
          <w:bCs/>
          <w:sz w:val="20"/>
          <w:szCs w:val="20"/>
        </w:rPr>
        <w:t>IDWeek</w:t>
      </w:r>
      <w:proofErr w:type="spellEnd"/>
      <w:r w:rsidR="00527B7C">
        <w:rPr>
          <w:rStyle w:val="Hyperlink"/>
          <w:rFonts w:ascii="Arial" w:hAnsi="Arial" w:cs="Arial"/>
          <w:b/>
          <w:bCs/>
          <w:sz w:val="20"/>
          <w:szCs w:val="20"/>
        </w:rPr>
        <w:t xml:space="preserve"> 2021</w:t>
      </w:r>
      <w:r>
        <w:rPr>
          <w:rStyle w:val="Hyperlink"/>
          <w:rFonts w:ascii="Arial" w:hAnsi="Arial" w:cs="Arial"/>
          <w:b/>
          <w:bCs/>
          <w:sz w:val="20"/>
          <w:szCs w:val="20"/>
        </w:rPr>
        <w:fldChar w:fldCharType="end"/>
      </w:r>
      <w:r w:rsidR="000A3D01" w:rsidRPr="00A26D91">
        <w:rPr>
          <w:rStyle w:val="Hyperlink"/>
          <w:rFonts w:ascii="Arial" w:hAnsi="Arial" w:cs="Arial"/>
          <w:b/>
          <w:bCs/>
          <w:sz w:val="20"/>
          <w:szCs w:val="20"/>
        </w:rPr>
        <w:t xml:space="preserve"> – </w:t>
      </w:r>
      <w:r w:rsidR="00527B7C">
        <w:rPr>
          <w:rStyle w:val="Hyperlink"/>
          <w:rFonts w:ascii="Arial" w:hAnsi="Arial" w:cs="Arial"/>
          <w:b/>
          <w:bCs/>
          <w:sz w:val="20"/>
          <w:szCs w:val="20"/>
        </w:rPr>
        <w:t>due Wed Jun 9</w:t>
      </w:r>
      <w:r w:rsidR="00527B7C" w:rsidRPr="00527B7C">
        <w:rPr>
          <w:rStyle w:val="Hyperlink"/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527B7C">
        <w:rPr>
          <w:rStyle w:val="Hyperlink"/>
          <w:rFonts w:ascii="Arial" w:hAnsi="Arial" w:cs="Arial"/>
          <w:b/>
          <w:bCs/>
          <w:sz w:val="20"/>
          <w:szCs w:val="20"/>
        </w:rPr>
        <w:t xml:space="preserve"> 4p CT</w:t>
      </w:r>
      <w:r w:rsidR="000A3D01" w:rsidRPr="00A26D91">
        <w:rPr>
          <w:rStyle w:val="Hyperlink"/>
          <w:rFonts w:ascii="Arial" w:hAnsi="Arial" w:cs="Arial"/>
          <w:b/>
          <w:bCs/>
          <w:sz w:val="20"/>
          <w:szCs w:val="20"/>
        </w:rPr>
        <w:t xml:space="preserve"> </w:t>
      </w:r>
    </w:p>
    <w:p w14:paraId="1CEC04BC" w14:textId="77777777" w:rsidR="000A3D01" w:rsidRPr="00A26D91" w:rsidRDefault="000A3D01" w:rsidP="000A3D0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4DDEBAE" w14:textId="1F58B056" w:rsidR="000A3D01" w:rsidRPr="00A26D91" w:rsidRDefault="00922908" w:rsidP="000A3D01">
      <w:pPr>
        <w:spacing w:after="0"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hyperlink r:id="rId10" w:history="1">
        <w:r w:rsidR="000A3D01" w:rsidRPr="00527B7C">
          <w:rPr>
            <w:rStyle w:val="Hyperlink"/>
            <w:rFonts w:ascii="Arial" w:hAnsi="Arial" w:cs="Arial"/>
            <w:bCs/>
            <w:sz w:val="20"/>
            <w:szCs w:val="20"/>
          </w:rPr>
          <w:t>Track</w:t>
        </w:r>
      </w:hyperlink>
      <w:r w:rsidR="000A3D01" w:rsidRPr="00A26D91">
        <w:rPr>
          <w:rFonts w:ascii="Arial" w:hAnsi="Arial" w:cs="Arial"/>
          <w:bCs/>
          <w:sz w:val="20"/>
          <w:szCs w:val="20"/>
        </w:rPr>
        <w:t xml:space="preserve">:   </w:t>
      </w:r>
      <w:r w:rsidR="000A3D01" w:rsidRPr="00A26D91"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bidi="ar-SA"/>
        </w:rPr>
        <w:t>Antimicrobial Agents and Resistance (AAR)</w:t>
      </w:r>
    </w:p>
    <w:p w14:paraId="60A762E7" w14:textId="7711425E" w:rsidR="000A3D01" w:rsidRPr="00A26D91" w:rsidRDefault="000A3D01" w:rsidP="000A3D01">
      <w:pPr>
        <w:rPr>
          <w:rFonts w:ascii="Arial" w:eastAsia="Times New Roman" w:hAnsi="Arial" w:cs="Arial"/>
          <w:sz w:val="20"/>
          <w:szCs w:val="20"/>
          <w:lang w:bidi="ar-SA"/>
        </w:rPr>
      </w:pPr>
      <w:proofErr w:type="spellStart"/>
      <w:r w:rsidRPr="00A26D91">
        <w:rPr>
          <w:rFonts w:ascii="Arial" w:hAnsi="Arial" w:cs="Arial"/>
          <w:bCs/>
          <w:sz w:val="20"/>
          <w:szCs w:val="20"/>
        </w:rPr>
        <w:t>Subtrack</w:t>
      </w:r>
      <w:proofErr w:type="spellEnd"/>
      <w:r w:rsidRPr="00A26D91">
        <w:rPr>
          <w:rFonts w:ascii="Arial" w:hAnsi="Arial" w:cs="Arial"/>
          <w:bCs/>
          <w:sz w:val="20"/>
          <w:szCs w:val="20"/>
        </w:rPr>
        <w:t xml:space="preserve">:  </w:t>
      </w:r>
      <w:r w:rsidR="00527B7C">
        <w:rPr>
          <w:rFonts w:ascii="Arial" w:hAnsi="Arial" w:cs="Arial"/>
          <w:bCs/>
          <w:color w:val="333333"/>
          <w:sz w:val="20"/>
          <w:szCs w:val="20"/>
        </w:rPr>
        <w:t xml:space="preserve">A6 New Drug Development </w:t>
      </w:r>
    </w:p>
    <w:p w14:paraId="6A148FDC" w14:textId="77777777" w:rsidR="000A3D01" w:rsidRPr="00A26D91" w:rsidRDefault="000A3D01" w:rsidP="00695E7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DB868D3" w14:textId="7DFA357D" w:rsidR="00B67153" w:rsidRDefault="00816ADE" w:rsidP="00A26D91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shd w:val="clear" w:color="auto" w:fill="FFFFFF"/>
          <w:lang w:bidi="ar-SA"/>
        </w:rPr>
      </w:pPr>
      <w:r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shd w:val="clear" w:color="auto" w:fill="FFFFFF"/>
          <w:lang w:bidi="ar-SA"/>
        </w:rPr>
        <w:t xml:space="preserve">Rapid Restoration of Bile Acid Compositions After Treatment with RBX2660 for Recurrent </w:t>
      </w:r>
      <w:proofErr w:type="spellStart"/>
      <w:r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shd w:val="clear" w:color="auto" w:fill="FFFFFF"/>
          <w:lang w:bidi="ar-SA"/>
        </w:rPr>
        <w:t>Clostridioides</w:t>
      </w:r>
      <w:proofErr w:type="spellEnd"/>
      <w:r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shd w:val="clear" w:color="auto" w:fill="FFFFFF"/>
          <w:lang w:bidi="ar-SA"/>
        </w:rPr>
        <w:t xml:space="preserve"> difficile Infection</w:t>
      </w:r>
      <w:r w:rsidR="00B6715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shd w:val="clear" w:color="auto" w:fill="FFFFFF"/>
          <w:lang w:bidi="ar-SA"/>
        </w:rPr>
        <w:t xml:space="preserve">—Results from </w:t>
      </w:r>
      <w:r w:rsidR="0082115D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shd w:val="clear" w:color="auto" w:fill="FFFFFF"/>
          <w:lang w:bidi="ar-SA"/>
        </w:rPr>
        <w:t xml:space="preserve">the </w:t>
      </w:r>
      <w:r w:rsidR="00B67153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shd w:val="clear" w:color="auto" w:fill="FFFFFF"/>
          <w:lang w:bidi="ar-SA"/>
        </w:rPr>
        <w:t>PUNCH CD3 Phase 3 Trial</w:t>
      </w:r>
    </w:p>
    <w:p w14:paraId="16337001" w14:textId="4B3F5C82" w:rsidR="00D35640" w:rsidRPr="00A26D91" w:rsidRDefault="00D35640" w:rsidP="00695E75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53DA115A" w14:textId="04284793" w:rsidR="00A26D91" w:rsidRPr="00A26D91" w:rsidRDefault="00A441C5" w:rsidP="00A26D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Romeo Papazyan</w:t>
      </w:r>
      <w:r w:rsidR="006C1012">
        <w:rPr>
          <w:rFonts w:ascii="Arial" w:hAnsi="Arial" w:cs="Arial"/>
          <w:color w:val="000000" w:themeColor="text1"/>
          <w:sz w:val="20"/>
          <w:szCs w:val="20"/>
          <w:vertAlign w:val="superscript"/>
        </w:rPr>
        <w:t>1</w:t>
      </w:r>
      <w:r w:rsidR="006C1012">
        <w:rPr>
          <w:rFonts w:ascii="Arial" w:hAnsi="Arial" w:cs="Arial"/>
          <w:color w:val="000000" w:themeColor="text1"/>
          <w:sz w:val="20"/>
          <w:szCs w:val="20"/>
        </w:rPr>
        <w:t>,</w:t>
      </w:r>
      <w:r w:rsidR="0038417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C1012">
        <w:rPr>
          <w:rFonts w:ascii="Arial" w:hAnsi="Arial" w:cs="Arial"/>
          <w:color w:val="000000" w:themeColor="text1"/>
          <w:sz w:val="20"/>
          <w:szCs w:val="20"/>
        </w:rPr>
        <w:t xml:space="preserve">Bryan </w:t>
      </w:r>
      <w:r w:rsidR="00783F33">
        <w:rPr>
          <w:rFonts w:ascii="Arial" w:hAnsi="Arial" w:cs="Arial"/>
          <w:color w:val="000000" w:themeColor="text1"/>
          <w:sz w:val="20"/>
          <w:szCs w:val="20"/>
        </w:rPr>
        <w:t xml:space="preserve">C. </w:t>
      </w:r>
      <w:r w:rsidR="006C1012">
        <w:rPr>
          <w:rFonts w:ascii="Arial" w:hAnsi="Arial" w:cs="Arial"/>
          <w:color w:val="000000" w:themeColor="text1"/>
          <w:sz w:val="20"/>
          <w:szCs w:val="20"/>
        </w:rPr>
        <w:t>Fuchs</w:t>
      </w:r>
      <w:r w:rsidR="006C1012">
        <w:rPr>
          <w:rFonts w:ascii="Arial" w:hAnsi="Arial" w:cs="Arial"/>
          <w:color w:val="000000" w:themeColor="text1"/>
          <w:sz w:val="20"/>
          <w:szCs w:val="20"/>
          <w:vertAlign w:val="superscript"/>
        </w:rPr>
        <w:t>1</w:t>
      </w:r>
      <w:r w:rsidR="006C101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E104D7" w:rsidRPr="00A26D91">
        <w:rPr>
          <w:rFonts w:ascii="Arial" w:hAnsi="Arial" w:cs="Arial"/>
          <w:color w:val="000000" w:themeColor="text1"/>
          <w:sz w:val="20"/>
          <w:szCs w:val="20"/>
        </w:rPr>
        <w:t xml:space="preserve">Ken </w:t>
      </w:r>
      <w:r w:rsidR="006C1012" w:rsidRPr="00A26D91">
        <w:rPr>
          <w:rFonts w:ascii="Arial" w:hAnsi="Arial" w:cs="Arial"/>
          <w:color w:val="000000" w:themeColor="text1"/>
          <w:sz w:val="20"/>
          <w:szCs w:val="20"/>
        </w:rPr>
        <w:t>Blount</w:t>
      </w:r>
      <w:r w:rsidR="006C1012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="00A26D91" w:rsidRPr="00A26D91">
        <w:rPr>
          <w:rFonts w:ascii="Arial" w:hAnsi="Arial" w:cs="Arial"/>
          <w:sz w:val="20"/>
          <w:szCs w:val="20"/>
        </w:rPr>
        <w:t xml:space="preserve">, </w:t>
      </w:r>
      <w:r w:rsidR="005E7C75">
        <w:rPr>
          <w:rFonts w:ascii="Arial" w:hAnsi="Arial" w:cs="Arial"/>
          <w:sz w:val="20"/>
          <w:szCs w:val="20"/>
        </w:rPr>
        <w:t>Carlos Gonzalez</w:t>
      </w:r>
      <w:r w:rsidR="006C1012">
        <w:rPr>
          <w:rFonts w:ascii="Arial" w:hAnsi="Arial" w:cs="Arial"/>
          <w:color w:val="000000" w:themeColor="text1"/>
          <w:sz w:val="20"/>
          <w:szCs w:val="20"/>
          <w:vertAlign w:val="superscript"/>
        </w:rPr>
        <w:t>3</w:t>
      </w:r>
      <w:r w:rsidR="005E7C75">
        <w:rPr>
          <w:rFonts w:ascii="Arial" w:hAnsi="Arial" w:cs="Arial"/>
          <w:sz w:val="20"/>
          <w:szCs w:val="20"/>
        </w:rPr>
        <w:t>,</w:t>
      </w:r>
      <w:r w:rsidR="00DA7ED7">
        <w:rPr>
          <w:rFonts w:ascii="Arial" w:hAnsi="Arial" w:cs="Arial"/>
          <w:sz w:val="20"/>
          <w:szCs w:val="20"/>
        </w:rPr>
        <w:t xml:space="preserve"> </w:t>
      </w:r>
      <w:r w:rsidR="00A26D91" w:rsidRPr="00A26D91">
        <w:rPr>
          <w:rFonts w:ascii="Arial" w:hAnsi="Arial" w:cs="Arial"/>
          <w:color w:val="000000" w:themeColor="text1"/>
          <w:sz w:val="20"/>
          <w:szCs w:val="20"/>
        </w:rPr>
        <w:t xml:space="preserve">Bill </w:t>
      </w:r>
      <w:r w:rsidR="006C1012" w:rsidRPr="00A26D91">
        <w:rPr>
          <w:rFonts w:ascii="Arial" w:hAnsi="Arial" w:cs="Arial"/>
          <w:color w:val="000000" w:themeColor="text1"/>
          <w:sz w:val="20"/>
          <w:szCs w:val="20"/>
        </w:rPr>
        <w:t>Shannon</w:t>
      </w:r>
      <w:r w:rsidR="006C1012">
        <w:rPr>
          <w:rFonts w:ascii="Arial" w:hAnsi="Arial" w:cs="Arial"/>
          <w:color w:val="000000" w:themeColor="text1"/>
          <w:sz w:val="20"/>
          <w:szCs w:val="20"/>
          <w:vertAlign w:val="superscript"/>
        </w:rPr>
        <w:t>3</w:t>
      </w:r>
    </w:p>
    <w:p w14:paraId="1F849393" w14:textId="6594FE74" w:rsidR="00EE7076" w:rsidRPr="00A26D91" w:rsidRDefault="006C1012" w:rsidP="00995CE5">
      <w:pPr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A26D91">
        <w:rPr>
          <w:rFonts w:ascii="Arial" w:hAnsi="Arial" w:cs="Arial"/>
          <w:color w:val="767171" w:themeColor="background2" w:themeShade="80"/>
          <w:sz w:val="20"/>
          <w:szCs w:val="20"/>
          <w:vertAlign w:val="superscript"/>
        </w:rPr>
        <w:t>1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t xml:space="preserve">Ferring Research Institute, San Diego, CA, USA; </w:t>
      </w:r>
      <w:r>
        <w:rPr>
          <w:rFonts w:ascii="Arial" w:hAnsi="Arial" w:cs="Arial"/>
          <w:color w:val="767171" w:themeColor="background2" w:themeShade="80"/>
          <w:sz w:val="20"/>
          <w:szCs w:val="20"/>
          <w:vertAlign w:val="superscript"/>
        </w:rPr>
        <w:t>2</w:t>
      </w:r>
      <w:r w:rsidR="00480E0E" w:rsidRPr="00A26D91">
        <w:rPr>
          <w:rFonts w:ascii="Arial" w:hAnsi="Arial" w:cs="Arial"/>
          <w:color w:val="767171" w:themeColor="background2" w:themeShade="80"/>
          <w:sz w:val="20"/>
          <w:szCs w:val="20"/>
        </w:rPr>
        <w:t>Rebiotix, Inc.</w:t>
      </w:r>
      <w:r w:rsidR="006C5F5D">
        <w:rPr>
          <w:rFonts w:ascii="Arial" w:hAnsi="Arial" w:cs="Arial"/>
          <w:color w:val="767171" w:themeColor="background2" w:themeShade="80"/>
          <w:sz w:val="20"/>
          <w:szCs w:val="20"/>
        </w:rPr>
        <w:t>, a Ferring Company,</w:t>
      </w:r>
      <w:r w:rsidR="00480E0E" w:rsidRPr="00A26D91">
        <w:rPr>
          <w:rFonts w:ascii="Arial" w:hAnsi="Arial" w:cs="Arial"/>
          <w:color w:val="767171" w:themeColor="background2" w:themeShade="80"/>
          <w:sz w:val="20"/>
          <w:szCs w:val="20"/>
        </w:rPr>
        <w:t xml:space="preserve"> Roseville, MN</w:t>
      </w:r>
      <w:r w:rsidR="00A26D91" w:rsidRPr="00A26D91">
        <w:rPr>
          <w:rFonts w:ascii="Arial" w:hAnsi="Arial" w:cs="Arial"/>
          <w:color w:val="767171" w:themeColor="background2" w:themeShade="80"/>
          <w:sz w:val="20"/>
          <w:szCs w:val="20"/>
        </w:rPr>
        <w:t>, USA</w:t>
      </w:r>
      <w:r w:rsidR="00480E0E" w:rsidRPr="00A26D91">
        <w:rPr>
          <w:rFonts w:ascii="Arial" w:hAnsi="Arial" w:cs="Arial"/>
          <w:color w:val="767171" w:themeColor="background2" w:themeShade="80"/>
          <w:sz w:val="20"/>
          <w:szCs w:val="20"/>
        </w:rPr>
        <w:t xml:space="preserve">; </w:t>
      </w:r>
      <w:r>
        <w:rPr>
          <w:rFonts w:ascii="Arial" w:hAnsi="Arial" w:cs="Arial"/>
          <w:color w:val="767171" w:themeColor="background2" w:themeShade="80"/>
          <w:sz w:val="20"/>
          <w:szCs w:val="20"/>
          <w:vertAlign w:val="superscript"/>
        </w:rPr>
        <w:t>3</w:t>
      </w:r>
      <w:r w:rsidR="00A26D91" w:rsidRPr="00A26D91">
        <w:rPr>
          <w:rFonts w:ascii="Arial" w:hAnsi="Arial" w:cs="Arial"/>
          <w:color w:val="767171" w:themeColor="background2" w:themeShade="80"/>
          <w:sz w:val="20"/>
          <w:szCs w:val="20"/>
        </w:rPr>
        <w:t>BioRankings LLC St. Louis, MO, USA</w:t>
      </w:r>
    </w:p>
    <w:p w14:paraId="46ECBD96" w14:textId="77777777" w:rsidR="00145D00" w:rsidRPr="00A26D91" w:rsidRDefault="00145D00" w:rsidP="006D65BC">
      <w:pPr>
        <w:rPr>
          <w:rFonts w:ascii="Arial" w:hAnsi="Arial" w:cs="Arial"/>
          <w:b/>
          <w:bCs/>
          <w:sz w:val="20"/>
          <w:szCs w:val="20"/>
        </w:rPr>
      </w:pPr>
    </w:p>
    <w:p w14:paraId="4691417C" w14:textId="3A3F9481" w:rsidR="00B814EB" w:rsidRDefault="00EC5706" w:rsidP="00B9475E">
      <w:pPr>
        <w:spacing w:after="0"/>
        <w:rPr>
          <w:rFonts w:ascii="Arial" w:eastAsia="Times New Roman" w:hAnsi="Arial" w:cs="Arial"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</w:pPr>
      <w:r>
        <w:rPr>
          <w:rFonts w:ascii="Arial" w:eastAsia="Times New Roman" w:hAnsi="Arial" w:cs="Arial"/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>Background</w:t>
      </w:r>
      <w:r w:rsidR="00A26D91" w:rsidRPr="00A26D91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br/>
      </w:r>
      <w:r w:rsidR="00387545">
        <w:rPr>
          <w:rFonts w:ascii="Arial" w:eastAsia="Times New Roman" w:hAnsi="Arial" w:cs="Arial"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>M</w:t>
      </w:r>
      <w:r w:rsidR="00B814EB" w:rsidRPr="00B814EB">
        <w:rPr>
          <w:rFonts w:ascii="Arial" w:eastAsia="Times New Roman" w:hAnsi="Arial" w:cs="Arial"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>icrobiota-</w:t>
      </w:r>
      <w:r>
        <w:rPr>
          <w:rFonts w:ascii="Arial" w:eastAsia="Times New Roman" w:hAnsi="Arial" w:cs="Arial"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>b</w:t>
      </w:r>
      <w:r w:rsidR="00387545">
        <w:rPr>
          <w:rFonts w:ascii="Arial" w:eastAsia="Times New Roman" w:hAnsi="Arial" w:cs="Arial"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>a</w:t>
      </w:r>
      <w:r w:rsidR="00B814EB" w:rsidRPr="00B814EB">
        <w:rPr>
          <w:rFonts w:ascii="Arial" w:eastAsia="Times New Roman" w:hAnsi="Arial" w:cs="Arial"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>sed</w:t>
      </w:r>
      <w:r w:rsidR="00387545">
        <w:rPr>
          <w:rFonts w:ascii="Arial" w:eastAsia="Times New Roman" w:hAnsi="Arial" w:cs="Arial"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 treatments are increasingly evaluated as a strategy to reduce recurrence of </w:t>
      </w:r>
      <w:proofErr w:type="spellStart"/>
      <w:r w:rsidR="00B814EB" w:rsidRPr="0001644B">
        <w:rPr>
          <w:rFonts w:ascii="Arial" w:eastAsia="Times New Roman" w:hAnsi="Arial" w:cs="Arial"/>
          <w:bCs/>
          <w:i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>Clostridioides</w:t>
      </w:r>
      <w:proofErr w:type="spellEnd"/>
      <w:r w:rsidR="00B814EB" w:rsidRPr="0001644B">
        <w:rPr>
          <w:rFonts w:ascii="Arial" w:eastAsia="Times New Roman" w:hAnsi="Arial" w:cs="Arial"/>
          <w:bCs/>
          <w:i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 difficile</w:t>
      </w:r>
      <w:r w:rsidR="00B814EB" w:rsidRPr="00B814EB">
        <w:rPr>
          <w:rFonts w:ascii="Arial" w:eastAsia="Times New Roman" w:hAnsi="Arial" w:cs="Arial"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 infection (rCDI)</w:t>
      </w:r>
      <w:r w:rsidR="002570BA">
        <w:rPr>
          <w:rFonts w:ascii="Arial" w:eastAsia="Times New Roman" w:hAnsi="Arial" w:cs="Arial"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, and their proposed mechanisms include restoration of the microbiota and microbiota-mediated functions, including bile acid metabolism. </w:t>
      </w:r>
      <w:r w:rsidR="00B814EB" w:rsidRPr="00B814EB">
        <w:rPr>
          <w:rFonts w:ascii="Arial" w:eastAsia="Times New Roman" w:hAnsi="Arial" w:cs="Arial"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>RBX2660</w:t>
      </w:r>
      <w:r w:rsidR="00B814EB">
        <w:rPr>
          <w:rFonts w:ascii="Arial" w:eastAsia="Times New Roman" w:hAnsi="Arial" w:cs="Arial"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>—</w:t>
      </w:r>
      <w:r w:rsidR="00B814EB" w:rsidRPr="00B814EB">
        <w:rPr>
          <w:rFonts w:ascii="Arial" w:eastAsia="Times New Roman" w:hAnsi="Arial" w:cs="Arial"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>a</w:t>
      </w:r>
      <w:r w:rsidR="00B814EB">
        <w:rPr>
          <w:rFonts w:ascii="Arial" w:eastAsia="Times New Roman" w:hAnsi="Arial" w:cs="Arial"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 </w:t>
      </w:r>
      <w:r w:rsidR="00B814EB" w:rsidRPr="00B814EB">
        <w:rPr>
          <w:rFonts w:ascii="Arial" w:eastAsia="Times New Roman" w:hAnsi="Arial" w:cs="Arial"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>broad</w:t>
      </w:r>
      <w:r w:rsidR="00387545">
        <w:rPr>
          <w:rFonts w:ascii="Arial" w:eastAsia="Times New Roman" w:hAnsi="Arial" w:cs="Arial"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>-</w:t>
      </w:r>
      <w:r w:rsidR="00B814EB">
        <w:rPr>
          <w:rFonts w:ascii="Arial" w:eastAsia="Times New Roman" w:hAnsi="Arial" w:cs="Arial"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consortium </w:t>
      </w:r>
      <w:r w:rsidR="00387545">
        <w:rPr>
          <w:rFonts w:ascii="Arial" w:eastAsia="Times New Roman" w:hAnsi="Arial" w:cs="Arial"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>investigational live biotherapeutic—</w:t>
      </w:r>
      <w:r w:rsidR="00B814EB" w:rsidRPr="00B814EB">
        <w:rPr>
          <w:rFonts w:ascii="Arial" w:eastAsia="Times New Roman" w:hAnsi="Arial" w:cs="Arial"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>has</w:t>
      </w:r>
      <w:r w:rsidR="00387545">
        <w:rPr>
          <w:rFonts w:ascii="Arial" w:eastAsia="Times New Roman" w:hAnsi="Arial" w:cs="Arial"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 </w:t>
      </w:r>
      <w:r w:rsidR="00B814EB" w:rsidRPr="00B814EB">
        <w:rPr>
          <w:rFonts w:ascii="Arial" w:eastAsia="Times New Roman" w:hAnsi="Arial" w:cs="Arial"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>been evaluated in &gt;600 participants in 6 clinical trials</w:t>
      </w:r>
      <w:r w:rsidR="00B814EB">
        <w:rPr>
          <w:rFonts w:ascii="Arial" w:eastAsia="Times New Roman" w:hAnsi="Arial" w:cs="Arial"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>, with consistent reduction of rCDI recurrence</w:t>
      </w:r>
      <w:r w:rsidR="00B814EB" w:rsidRPr="00B814EB">
        <w:rPr>
          <w:rFonts w:ascii="Arial" w:eastAsia="Times New Roman" w:hAnsi="Arial" w:cs="Arial"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>. Here we report that</w:t>
      </w:r>
      <w:r w:rsidR="00B814EB">
        <w:rPr>
          <w:rFonts w:ascii="Arial" w:eastAsia="Times New Roman" w:hAnsi="Arial" w:cs="Arial"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 fecal bile acid</w:t>
      </w:r>
      <w:r w:rsidR="00E329B2">
        <w:rPr>
          <w:rFonts w:ascii="Arial" w:eastAsia="Times New Roman" w:hAnsi="Arial" w:cs="Arial"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 </w:t>
      </w:r>
      <w:r>
        <w:rPr>
          <w:rFonts w:ascii="Arial" w:eastAsia="Times New Roman" w:hAnsi="Arial" w:cs="Arial"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>compositions</w:t>
      </w:r>
      <w:r w:rsidR="00B814EB">
        <w:rPr>
          <w:rFonts w:ascii="Arial" w:eastAsia="Times New Roman" w:hAnsi="Arial" w:cs="Arial"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 were significantly restored in</w:t>
      </w:r>
      <w:r w:rsidR="00B814EB" w:rsidRPr="00B814EB">
        <w:rPr>
          <w:rFonts w:ascii="Arial" w:eastAsia="Times New Roman" w:hAnsi="Arial" w:cs="Arial"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 </w:t>
      </w:r>
      <w:r w:rsidR="00B814EB">
        <w:rPr>
          <w:rFonts w:ascii="Arial" w:eastAsia="Times New Roman" w:hAnsi="Arial" w:cs="Arial"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>treatment-responsive participants in</w:t>
      </w:r>
      <w:r w:rsidR="00B814EB" w:rsidRPr="00B814EB">
        <w:rPr>
          <w:rFonts w:ascii="Arial" w:eastAsia="Times New Roman" w:hAnsi="Arial" w:cs="Arial"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 PUNCH CD3—a Phase 3 randomized, double-blinded, placebo-controlled trial</w:t>
      </w:r>
      <w:r w:rsidR="00B814EB">
        <w:rPr>
          <w:rFonts w:ascii="Arial" w:eastAsia="Times New Roman" w:hAnsi="Arial" w:cs="Arial"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 of RBX2660.</w:t>
      </w:r>
    </w:p>
    <w:p w14:paraId="444471A5" w14:textId="77777777" w:rsidR="00B814EB" w:rsidRDefault="00B814EB" w:rsidP="00B9475E">
      <w:pPr>
        <w:spacing w:after="0"/>
        <w:rPr>
          <w:rFonts w:ascii="Arial" w:eastAsia="Times New Roman" w:hAnsi="Arial" w:cs="Arial"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</w:pPr>
    </w:p>
    <w:p w14:paraId="052FEBFC" w14:textId="7E8DD4A0" w:rsidR="006C5F5D" w:rsidRDefault="00A26D91" w:rsidP="00B9475E">
      <w:pPr>
        <w:spacing w:after="0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</w:pPr>
      <w:r w:rsidRPr="00A26D91">
        <w:rPr>
          <w:rFonts w:ascii="Arial" w:eastAsia="Times New Roman" w:hAnsi="Arial" w:cs="Arial"/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>Methods</w:t>
      </w:r>
      <w:r w:rsidRPr="00A26D91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br/>
      </w:r>
      <w:r w:rsidR="00DB5838" w:rsidRPr="00660CE3">
        <w:rPr>
          <w:rFonts w:ascii="Arial" w:hAnsi="Arial" w:cs="Arial"/>
          <w:bCs/>
          <w:color w:val="000000" w:themeColor="text1"/>
          <w:sz w:val="20"/>
          <w:szCs w:val="20"/>
        </w:rPr>
        <w:t>PUNCH CD3</w:t>
      </w:r>
      <w:r w:rsidR="00A276D8">
        <w:rPr>
          <w:rFonts w:ascii="Arial" w:hAnsi="Arial" w:cs="Arial"/>
          <w:bCs/>
          <w:color w:val="000000" w:themeColor="text1"/>
          <w:sz w:val="20"/>
          <w:szCs w:val="20"/>
        </w:rPr>
        <w:t xml:space="preserve"> participants</w:t>
      </w:r>
      <w:r w:rsidR="00DB5838" w:rsidRPr="00660CE3">
        <w:rPr>
          <w:rFonts w:ascii="Arial" w:hAnsi="Arial" w:cs="Arial"/>
          <w:bCs/>
          <w:color w:val="000000" w:themeColor="text1"/>
          <w:sz w:val="20"/>
          <w:szCs w:val="20"/>
        </w:rPr>
        <w:t xml:space="preserve"> received a single dose of RBX2660 or placebo</w:t>
      </w:r>
      <w:r w:rsidR="00DB5838" w:rsidRPr="00660CE3">
        <w:rPr>
          <w:rFonts w:ascii="Arial" w:hAnsi="Arial" w:cs="Arial"/>
          <w:bCs/>
          <w:sz w:val="20"/>
          <w:szCs w:val="20"/>
        </w:rPr>
        <w:t xml:space="preserve"> </w:t>
      </w:r>
      <w:r w:rsidR="00FB500C">
        <w:rPr>
          <w:rFonts w:ascii="Arial" w:hAnsi="Arial" w:cs="Arial"/>
          <w:bCs/>
          <w:sz w:val="20"/>
          <w:szCs w:val="20"/>
        </w:rPr>
        <w:t xml:space="preserve">between </w:t>
      </w:r>
      <w:r w:rsidR="00DB5838" w:rsidRPr="00660CE3">
        <w:rPr>
          <w:rFonts w:ascii="Arial" w:hAnsi="Arial" w:cs="Arial"/>
          <w:bCs/>
          <w:sz w:val="20"/>
          <w:szCs w:val="20"/>
        </w:rPr>
        <w:t xml:space="preserve">24 to 72 hours after completing </w:t>
      </w:r>
      <w:r w:rsidR="00A276D8">
        <w:rPr>
          <w:rFonts w:ascii="Arial" w:hAnsi="Arial" w:cs="Arial"/>
          <w:bCs/>
          <w:sz w:val="20"/>
          <w:szCs w:val="20"/>
        </w:rPr>
        <w:t>rCDI</w:t>
      </w:r>
      <w:r w:rsidR="00A276D8" w:rsidRPr="00660CE3">
        <w:rPr>
          <w:rFonts w:ascii="Arial" w:hAnsi="Arial" w:cs="Arial"/>
          <w:bCs/>
          <w:sz w:val="20"/>
          <w:szCs w:val="20"/>
        </w:rPr>
        <w:t xml:space="preserve"> </w:t>
      </w:r>
      <w:r w:rsidR="00DB5838" w:rsidRPr="00660CE3">
        <w:rPr>
          <w:rFonts w:ascii="Arial" w:hAnsi="Arial" w:cs="Arial"/>
          <w:bCs/>
          <w:sz w:val="20"/>
          <w:szCs w:val="20"/>
        </w:rPr>
        <w:t>antibiotic treatment. Clinical response was the absence of CDI recurrence at eight weeks after treatment</w:t>
      </w:r>
      <w:r w:rsidR="006C5F5D">
        <w:rPr>
          <w:rFonts w:ascii="Arial" w:hAnsi="Arial" w:cs="Arial"/>
          <w:bCs/>
          <w:sz w:val="20"/>
          <w:szCs w:val="20"/>
        </w:rPr>
        <w:t>. Par</w:t>
      </w:r>
      <w:r w:rsidR="00DB5838" w:rsidRPr="00660CE3">
        <w:rPr>
          <w:rFonts w:ascii="Arial" w:hAnsi="Arial" w:cs="Arial"/>
          <w:color w:val="000000" w:themeColor="text1"/>
          <w:sz w:val="20"/>
          <w:szCs w:val="20"/>
        </w:rPr>
        <w:t xml:space="preserve">ticipants </w:t>
      </w:r>
      <w:r w:rsidR="006C5F5D">
        <w:rPr>
          <w:rFonts w:ascii="Arial" w:hAnsi="Arial" w:cs="Arial"/>
          <w:color w:val="000000" w:themeColor="text1"/>
          <w:sz w:val="20"/>
          <w:szCs w:val="20"/>
        </w:rPr>
        <w:t xml:space="preserve">voluntarily submitted </w:t>
      </w:r>
      <w:r w:rsidR="00DB5838" w:rsidRPr="00660CE3">
        <w:rPr>
          <w:rFonts w:ascii="Arial" w:hAnsi="Arial" w:cs="Arial"/>
          <w:color w:val="000000" w:themeColor="text1"/>
          <w:sz w:val="20"/>
          <w:szCs w:val="20"/>
        </w:rPr>
        <w:t>stool samples prior to</w:t>
      </w:r>
      <w:r w:rsidR="006C5F5D">
        <w:rPr>
          <w:rFonts w:ascii="Arial" w:hAnsi="Arial" w:cs="Arial"/>
          <w:color w:val="000000" w:themeColor="text1"/>
          <w:sz w:val="20"/>
          <w:szCs w:val="20"/>
        </w:rPr>
        <w:t xml:space="preserve"> blinded</w:t>
      </w:r>
      <w:r w:rsidR="00DB5838" w:rsidRPr="00660CE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95461">
        <w:rPr>
          <w:rFonts w:ascii="Arial" w:hAnsi="Arial" w:cs="Arial"/>
          <w:color w:val="000000" w:themeColor="text1"/>
          <w:sz w:val="20"/>
          <w:szCs w:val="20"/>
        </w:rPr>
        <w:t>study</w:t>
      </w:r>
      <w:r w:rsidR="00DB5838" w:rsidRPr="00660CE3">
        <w:rPr>
          <w:rFonts w:ascii="Arial" w:hAnsi="Arial" w:cs="Arial"/>
          <w:color w:val="000000" w:themeColor="text1"/>
          <w:sz w:val="20"/>
          <w:szCs w:val="20"/>
        </w:rPr>
        <w:t xml:space="preserve"> treatment (</w:t>
      </w:r>
      <w:r w:rsidR="00EC5706">
        <w:rPr>
          <w:rFonts w:ascii="Arial" w:hAnsi="Arial" w:cs="Arial"/>
          <w:color w:val="000000" w:themeColor="text1"/>
          <w:sz w:val="20"/>
          <w:szCs w:val="20"/>
        </w:rPr>
        <w:t>ba</w:t>
      </w:r>
      <w:r w:rsidR="00DB5838" w:rsidRPr="00660CE3">
        <w:rPr>
          <w:rFonts w:ascii="Arial" w:hAnsi="Arial" w:cs="Arial"/>
          <w:color w:val="000000" w:themeColor="text1"/>
          <w:sz w:val="20"/>
          <w:szCs w:val="20"/>
        </w:rPr>
        <w:t>seline)</w:t>
      </w:r>
      <w:r w:rsidR="0092034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DB5838" w:rsidRPr="00660CE3">
        <w:rPr>
          <w:rFonts w:ascii="Arial" w:hAnsi="Arial" w:cs="Arial"/>
          <w:color w:val="000000" w:themeColor="text1"/>
          <w:sz w:val="20"/>
          <w:szCs w:val="20"/>
        </w:rPr>
        <w:t>1, 4 and 8 weeks, 3 and 6 months after</w:t>
      </w:r>
      <w:r w:rsidR="006C5F5D">
        <w:rPr>
          <w:rFonts w:ascii="Arial" w:hAnsi="Arial" w:cs="Arial"/>
          <w:color w:val="000000" w:themeColor="text1"/>
          <w:sz w:val="20"/>
          <w:szCs w:val="20"/>
        </w:rPr>
        <w:t xml:space="preserve"> receiving</w:t>
      </w:r>
      <w:r w:rsidR="00DB5838" w:rsidRPr="00660CE3">
        <w:rPr>
          <w:rFonts w:ascii="Arial" w:hAnsi="Arial" w:cs="Arial"/>
          <w:color w:val="000000" w:themeColor="text1"/>
          <w:sz w:val="20"/>
          <w:szCs w:val="20"/>
        </w:rPr>
        <w:t xml:space="preserve"> study </w:t>
      </w:r>
      <w:r w:rsidR="00DB5838" w:rsidRPr="0001644B">
        <w:rPr>
          <w:rFonts w:ascii="Arial" w:hAnsi="Arial" w:cs="Arial"/>
          <w:color w:val="000000" w:themeColor="text1"/>
          <w:sz w:val="20"/>
          <w:szCs w:val="20"/>
        </w:rPr>
        <w:t xml:space="preserve">treatment. </w:t>
      </w:r>
      <w:r w:rsidR="0031504D" w:rsidRPr="0001644B">
        <w:rPr>
          <w:rFonts w:ascii="Arial" w:hAnsi="Arial" w:cs="Arial"/>
          <w:color w:val="000000" w:themeColor="text1"/>
          <w:sz w:val="20"/>
          <w:szCs w:val="20"/>
        </w:rPr>
        <w:t xml:space="preserve">A liquid chromatography tandem mass spectrometry method was developed to extract and quantify </w:t>
      </w:r>
      <w:r w:rsidR="00EC5706" w:rsidRPr="0001644B">
        <w:rPr>
          <w:rFonts w:ascii="Arial" w:hAnsi="Arial" w:cs="Arial"/>
          <w:color w:val="000000" w:themeColor="text1"/>
          <w:sz w:val="20"/>
          <w:szCs w:val="20"/>
        </w:rPr>
        <w:t>33 bile acids</w:t>
      </w:r>
      <w:r w:rsidR="0031504D" w:rsidRPr="0001644B">
        <w:rPr>
          <w:rFonts w:ascii="Arial" w:hAnsi="Arial" w:cs="Arial"/>
          <w:color w:val="000000" w:themeColor="text1"/>
          <w:sz w:val="20"/>
          <w:szCs w:val="20"/>
        </w:rPr>
        <w:t xml:space="preserve"> from </w:t>
      </w:r>
      <w:r w:rsidR="003B4C0E" w:rsidRPr="0001644B">
        <w:rPr>
          <w:rFonts w:ascii="Arial" w:hAnsi="Arial" w:cs="Arial"/>
          <w:color w:val="000000" w:themeColor="text1"/>
          <w:sz w:val="20"/>
          <w:szCs w:val="20"/>
        </w:rPr>
        <w:t xml:space="preserve">all participant fecal samples </w:t>
      </w:r>
      <w:r w:rsidR="00F24FB6" w:rsidRPr="0001644B">
        <w:rPr>
          <w:rFonts w:ascii="Arial" w:hAnsi="Arial" w:cs="Arial"/>
          <w:color w:val="000000" w:themeColor="text1"/>
          <w:sz w:val="20"/>
          <w:szCs w:val="20"/>
        </w:rPr>
        <w:t xml:space="preserve">received </w:t>
      </w:r>
      <w:r w:rsidR="003B4C0E" w:rsidRPr="0001644B">
        <w:rPr>
          <w:rFonts w:ascii="Arial" w:hAnsi="Arial" w:cs="Arial"/>
          <w:color w:val="000000" w:themeColor="text1"/>
          <w:sz w:val="20"/>
          <w:szCs w:val="20"/>
        </w:rPr>
        <w:t>up to</w:t>
      </w:r>
      <w:r w:rsidR="002A6977" w:rsidRPr="0001644B">
        <w:rPr>
          <w:rFonts w:ascii="Arial" w:hAnsi="Arial" w:cs="Arial"/>
          <w:color w:val="000000" w:themeColor="text1"/>
          <w:sz w:val="20"/>
          <w:szCs w:val="20"/>
        </w:rPr>
        <w:t xml:space="preserve"> the 8-week time point</w:t>
      </w:r>
      <w:r w:rsidR="0031504D" w:rsidRPr="0001644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3638B7" w:rsidRPr="0001644B">
        <w:rPr>
          <w:rFonts w:ascii="Arial" w:hAnsi="Arial" w:cs="Arial"/>
          <w:color w:val="000000" w:themeColor="text1"/>
          <w:sz w:val="20"/>
          <w:szCs w:val="20"/>
        </w:rPr>
        <w:t xml:space="preserve">Mean </w:t>
      </w:r>
      <w:r w:rsidR="00EC5706" w:rsidRPr="0001644B">
        <w:rPr>
          <w:rFonts w:ascii="Arial" w:hAnsi="Arial" w:cs="Arial"/>
          <w:color w:val="000000" w:themeColor="text1"/>
          <w:sz w:val="20"/>
          <w:szCs w:val="20"/>
        </w:rPr>
        <w:t>bile acid</w:t>
      </w:r>
      <w:r w:rsidR="003638B7" w:rsidRPr="0001644B">
        <w:rPr>
          <w:rFonts w:ascii="Arial" w:hAnsi="Arial" w:cs="Arial"/>
          <w:color w:val="000000" w:themeColor="text1"/>
          <w:sz w:val="20"/>
          <w:szCs w:val="20"/>
        </w:rPr>
        <w:t xml:space="preserve"> compositions</w:t>
      </w:r>
      <w:r w:rsidR="00E329B2" w:rsidRPr="0001644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41F59" w:rsidRPr="0001644B">
        <w:rPr>
          <w:rFonts w:ascii="Arial" w:hAnsi="Arial" w:cs="Arial"/>
          <w:color w:val="000000" w:themeColor="text1"/>
          <w:sz w:val="20"/>
          <w:szCs w:val="20"/>
        </w:rPr>
        <w:t>were fit to a Dirichlet multinomial</w:t>
      </w:r>
      <w:r w:rsidR="000E4375" w:rsidRPr="0001644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B4C0E" w:rsidRPr="0001644B">
        <w:rPr>
          <w:rFonts w:ascii="Arial" w:hAnsi="Arial" w:cs="Arial"/>
          <w:color w:val="000000" w:themeColor="text1"/>
          <w:sz w:val="20"/>
          <w:szCs w:val="20"/>
        </w:rPr>
        <w:t xml:space="preserve">distribution </w:t>
      </w:r>
      <w:r w:rsidR="000E4375" w:rsidRPr="0001644B">
        <w:rPr>
          <w:rFonts w:ascii="Arial" w:hAnsi="Arial" w:cs="Arial"/>
          <w:color w:val="000000" w:themeColor="text1"/>
          <w:sz w:val="20"/>
          <w:szCs w:val="20"/>
        </w:rPr>
        <w:t xml:space="preserve">and compared </w:t>
      </w:r>
      <w:r w:rsidR="003B4C0E" w:rsidRPr="0001644B">
        <w:rPr>
          <w:rFonts w:ascii="Arial" w:hAnsi="Arial" w:cs="Arial"/>
          <w:color w:val="000000" w:themeColor="text1"/>
          <w:sz w:val="20"/>
          <w:szCs w:val="20"/>
        </w:rPr>
        <w:t>across time points and between RBX2660- and placebo-treated participants.</w:t>
      </w:r>
    </w:p>
    <w:p w14:paraId="564038A4" w14:textId="4AAA5FF4" w:rsidR="00920343" w:rsidRDefault="00A26D91" w:rsidP="00B9475E">
      <w:pPr>
        <w:spacing w:after="0"/>
        <w:rPr>
          <w:rFonts w:ascii="Arial" w:eastAsia="Times New Roman" w:hAnsi="Arial" w:cs="Arial"/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</w:pPr>
      <w:r w:rsidRPr="00A26D91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br/>
      </w:r>
      <w:r w:rsidRPr="00A26D91">
        <w:rPr>
          <w:rFonts w:ascii="Arial" w:eastAsia="Times New Roman" w:hAnsi="Arial" w:cs="Arial"/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>Results</w:t>
      </w:r>
    </w:p>
    <w:p w14:paraId="13885F95" w14:textId="44023A29" w:rsidR="00F76C4F" w:rsidRDefault="00A26D91" w:rsidP="002823BC">
      <w:pPr>
        <w:spacing w:after="0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</w:pPr>
      <w:r w:rsidRPr="00A26D91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br/>
      </w:r>
      <w:r w:rsidR="00C95461" w:rsidRPr="00EA4E4D">
        <w:rPr>
          <w:rFonts w:ascii="Arial" w:hAnsi="Arial" w:cs="Arial"/>
          <w:bCs/>
          <w:color w:val="000000" w:themeColor="text1"/>
          <w:sz w:val="20"/>
          <w:szCs w:val="20"/>
        </w:rPr>
        <w:t>Clinically</w:t>
      </w:r>
      <w:r w:rsidR="00C95461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C95461" w:rsidRPr="00EA4E4D">
        <w:rPr>
          <w:rFonts w:ascii="Arial" w:hAnsi="Arial" w:cs="Arial"/>
          <w:bCs/>
          <w:color w:val="000000" w:themeColor="text1"/>
          <w:sz w:val="20"/>
          <w:szCs w:val="20"/>
        </w:rPr>
        <w:t xml:space="preserve"> RBX2660 demonstrated superior efficacy versus placebo (70.4% </w:t>
      </w:r>
      <w:r w:rsidR="00C1004F">
        <w:rPr>
          <w:rFonts w:ascii="Arial" w:hAnsi="Arial" w:cs="Arial"/>
          <w:bCs/>
          <w:color w:val="000000" w:themeColor="text1"/>
          <w:sz w:val="20"/>
          <w:szCs w:val="20"/>
        </w:rPr>
        <w:t>versus</w:t>
      </w:r>
      <w:r w:rsidR="00C95461" w:rsidRPr="00EA4E4D">
        <w:rPr>
          <w:rFonts w:ascii="Arial" w:hAnsi="Arial" w:cs="Arial"/>
          <w:bCs/>
          <w:color w:val="000000" w:themeColor="text1"/>
          <w:sz w:val="20"/>
          <w:szCs w:val="20"/>
        </w:rPr>
        <w:t xml:space="preserve"> 58.1%)</w:t>
      </w:r>
      <w:r w:rsidR="00C95461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  <w:r w:rsidR="00C95461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>RBX2660</w:t>
      </w:r>
      <w:r w:rsidR="00783731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-treated clinical </w:t>
      </w:r>
      <w:r w:rsidR="006D0D7C" w:rsidRPr="006D0D7C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>responders</w:t>
      </w:r>
      <w:r w:rsidR="00C95461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’ </w:t>
      </w:r>
      <w:r w:rsidR="00EC570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>bile acid</w:t>
      </w:r>
      <w:r w:rsidR="000E4375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 compositions shifted significantly </w:t>
      </w:r>
      <w:r w:rsidR="00BE6448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from </w:t>
      </w:r>
      <w:r w:rsidR="00BB0D52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>before to after treatment.</w:t>
      </w:r>
      <w:r w:rsidR="00CB4F74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 </w:t>
      </w:r>
      <w:r w:rsidR="00957C1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Specifically, </w:t>
      </w:r>
      <w:r w:rsidR="00934BB8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primary </w:t>
      </w:r>
      <w:r w:rsidR="00EC570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>bile acids</w:t>
      </w:r>
      <w:r w:rsidR="00934BB8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 predominated</w:t>
      </w:r>
      <w:r w:rsidR="00957C1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 before treatment</w:t>
      </w:r>
      <w:r w:rsidR="00934BB8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, whereas secondary </w:t>
      </w:r>
      <w:r w:rsidR="00EC570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bile acids </w:t>
      </w:r>
      <w:r w:rsidR="00934BB8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>predominated after treatment</w:t>
      </w:r>
      <w:r w:rsidR="00901B83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 (Figure </w:t>
      </w:r>
      <w:r w:rsidR="00957C1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>1A</w:t>
      </w:r>
      <w:r w:rsidR="00901B83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>)</w:t>
      </w:r>
      <w:r w:rsidR="00934BB8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>.</w:t>
      </w:r>
      <w:r w:rsidR="002823BC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 These changes trended higher among RBX2660 responders compared to placebo responders.</w:t>
      </w:r>
      <w:r w:rsidR="00934BB8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 </w:t>
      </w:r>
      <w:r w:rsidR="008F2A8E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Importantly, </w:t>
      </w:r>
      <w:r w:rsidR="00901B83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>median levels of</w:t>
      </w:r>
      <w:r w:rsidR="002823BC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 </w:t>
      </w:r>
      <w:r w:rsidR="00BC6C71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lithocholic acid </w:t>
      </w:r>
      <w:r w:rsidR="002823BC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>(LCA) and deoxycholic acid (DCA) showed large, significant increases after treatment</w:t>
      </w:r>
      <w:r w:rsidR="00C5517F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 (Figure 1B).</w:t>
      </w:r>
    </w:p>
    <w:p w14:paraId="7CFFFA8F" w14:textId="4CA2D488" w:rsidR="00F76C4F" w:rsidRDefault="00F76C4F" w:rsidP="002823BC">
      <w:pPr>
        <w:spacing w:after="0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</w:pPr>
    </w:p>
    <w:p w14:paraId="1DC030F0" w14:textId="42A8E448" w:rsidR="00F76C4F" w:rsidRPr="0001644B" w:rsidRDefault="00F76C4F" w:rsidP="002823BC">
      <w:pPr>
        <w:spacing w:after="0"/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</w:pPr>
      <w:r w:rsidRPr="0001644B">
        <w:rPr>
          <w:rFonts w:ascii="Arial" w:eastAsia="Times New Roman" w:hAnsi="Arial" w:cs="Arial"/>
          <w:b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>Conclusions</w:t>
      </w:r>
    </w:p>
    <w:p w14:paraId="644A6736" w14:textId="77777777" w:rsidR="00F76C4F" w:rsidRDefault="00F76C4F">
      <w:pPr>
        <w:spacing w:after="0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</w:pPr>
    </w:p>
    <w:p w14:paraId="21571F05" w14:textId="7FF5A0B5" w:rsidR="00EC5706" w:rsidRPr="00A26D91" w:rsidRDefault="00EC5706" w:rsidP="00EC5706">
      <w:pPr>
        <w:spacing w:after="0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</w:pPr>
      <w:r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Among PUNCH CD3 clinical responders, </w:t>
      </w:r>
      <w:r w:rsidRPr="00A26D91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>RBX2660</w:t>
      </w:r>
      <w:r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 significantly restored bile acids from less to more healthy compositions. These clinically correlated bile acid shifts are highly consistent with results from a prior trial of RBX2660.</w:t>
      </w:r>
    </w:p>
    <w:p w14:paraId="55BC37EF" w14:textId="0649D96A" w:rsidR="00695E75" w:rsidRPr="00A26D91" w:rsidRDefault="00695E75" w:rsidP="00D734A6">
      <w:pPr>
        <w:spacing w:line="276" w:lineRule="auto"/>
        <w:rPr>
          <w:rFonts w:ascii="Arial" w:hAnsi="Arial" w:cs="Arial"/>
          <w:sz w:val="20"/>
          <w:szCs w:val="20"/>
        </w:rPr>
      </w:pPr>
    </w:p>
    <w:p w14:paraId="14BC2F8E" w14:textId="6B22EF7F" w:rsidR="00CE7768" w:rsidRPr="00660CE3" w:rsidRDefault="00CE7768" w:rsidP="00CE7768">
      <w:pPr>
        <w:spacing w:after="0" w:line="240" w:lineRule="auto"/>
        <w:rPr>
          <w:rFonts w:ascii="Arial" w:hAnsi="Arial" w:cs="Arial"/>
          <w:color w:val="262626"/>
          <w:sz w:val="20"/>
          <w:szCs w:val="20"/>
          <w:lang w:val="fr-FR" w:bidi="ar-SA"/>
        </w:rPr>
      </w:pPr>
      <w:r w:rsidRPr="00660CE3">
        <w:rPr>
          <w:rFonts w:ascii="Arial" w:hAnsi="Arial" w:cs="Arial"/>
          <w:color w:val="262626"/>
          <w:sz w:val="20"/>
          <w:szCs w:val="20"/>
          <w:lang w:val="fr-FR" w:bidi="ar-SA"/>
        </w:rPr>
        <w:t xml:space="preserve">Keywords:  </w:t>
      </w:r>
      <w:proofErr w:type="spellStart"/>
      <w:r w:rsidRPr="00660CE3">
        <w:rPr>
          <w:rFonts w:ascii="Arial" w:hAnsi="Arial" w:cs="Arial"/>
          <w:i/>
          <w:color w:val="262626"/>
          <w:sz w:val="20"/>
          <w:szCs w:val="20"/>
          <w:lang w:val="fr-FR" w:bidi="ar-SA"/>
        </w:rPr>
        <w:t>Clostridi</w:t>
      </w:r>
      <w:r w:rsidR="004C5C47" w:rsidRPr="00660CE3">
        <w:rPr>
          <w:rFonts w:ascii="Arial" w:hAnsi="Arial" w:cs="Arial"/>
          <w:i/>
          <w:color w:val="262626"/>
          <w:sz w:val="20"/>
          <w:szCs w:val="20"/>
          <w:lang w:val="fr-FR" w:bidi="ar-SA"/>
        </w:rPr>
        <w:t>oides</w:t>
      </w:r>
      <w:proofErr w:type="spellEnd"/>
      <w:r w:rsidRPr="00660CE3">
        <w:rPr>
          <w:rFonts w:ascii="Arial" w:hAnsi="Arial" w:cs="Arial"/>
          <w:i/>
          <w:color w:val="262626"/>
          <w:sz w:val="20"/>
          <w:szCs w:val="20"/>
          <w:lang w:val="fr-FR" w:bidi="ar-SA"/>
        </w:rPr>
        <w:t xml:space="preserve"> difficile</w:t>
      </w:r>
      <w:r w:rsidRPr="00660CE3">
        <w:rPr>
          <w:rFonts w:ascii="Arial" w:hAnsi="Arial" w:cs="Arial"/>
          <w:color w:val="262626"/>
          <w:sz w:val="20"/>
          <w:szCs w:val="20"/>
          <w:lang w:val="fr-FR" w:bidi="ar-SA"/>
        </w:rPr>
        <w:t xml:space="preserve">, RBX2660, </w:t>
      </w:r>
      <w:proofErr w:type="spellStart"/>
      <w:r w:rsidR="006C1012">
        <w:rPr>
          <w:rFonts w:ascii="Arial" w:hAnsi="Arial" w:cs="Arial"/>
          <w:color w:val="262626"/>
          <w:sz w:val="20"/>
          <w:szCs w:val="20"/>
          <w:lang w:val="fr-FR" w:bidi="ar-SA"/>
        </w:rPr>
        <w:t>metabolome</w:t>
      </w:r>
      <w:proofErr w:type="spellEnd"/>
    </w:p>
    <w:p w14:paraId="7BB6A71D" w14:textId="1D2C3282" w:rsidR="00C8678F" w:rsidRPr="00660CE3" w:rsidRDefault="00C8678F">
      <w:pPr>
        <w:rPr>
          <w:rFonts w:ascii="Arial" w:hAnsi="Arial" w:cs="Arial"/>
          <w:sz w:val="20"/>
          <w:szCs w:val="20"/>
          <w:lang w:val="fr-FR"/>
        </w:rPr>
      </w:pPr>
      <w:r w:rsidRPr="00660CE3">
        <w:rPr>
          <w:rFonts w:ascii="Arial" w:hAnsi="Arial" w:cs="Arial"/>
          <w:sz w:val="20"/>
          <w:szCs w:val="20"/>
          <w:lang w:val="fr-FR"/>
        </w:rPr>
        <w:br w:type="page"/>
      </w:r>
    </w:p>
    <w:p w14:paraId="2B5D5189" w14:textId="205565EC" w:rsidR="001D6860" w:rsidRDefault="004E6349" w:rsidP="00D734A6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drawing>
          <wp:inline distT="0" distB="0" distL="0" distR="0" wp14:anchorId="50EC0281" wp14:editId="25853B50">
            <wp:extent cx="5927725" cy="18486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844" cy="18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C21376" w14:textId="77777777" w:rsidR="004E6349" w:rsidRDefault="004E6349" w:rsidP="00D734A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39A6823" w14:textId="12D87E60" w:rsidR="004E66E4" w:rsidRDefault="00C8678F" w:rsidP="00D734A6">
      <w:pPr>
        <w:spacing w:line="276" w:lineRule="auto"/>
        <w:rPr>
          <w:rFonts w:ascii="Arial" w:hAnsi="Arial" w:cs="Arial"/>
          <w:sz w:val="20"/>
          <w:szCs w:val="20"/>
        </w:rPr>
      </w:pPr>
      <w:r w:rsidRPr="00660CE3">
        <w:rPr>
          <w:rFonts w:ascii="Arial" w:hAnsi="Arial" w:cs="Arial"/>
          <w:b/>
          <w:sz w:val="20"/>
          <w:szCs w:val="20"/>
        </w:rPr>
        <w:t>Figure 1</w:t>
      </w:r>
      <w:r w:rsidR="00BB68ED">
        <w:rPr>
          <w:rFonts w:ascii="Arial" w:hAnsi="Arial" w:cs="Arial"/>
          <w:sz w:val="20"/>
          <w:szCs w:val="20"/>
        </w:rPr>
        <w:t xml:space="preserve">. </w:t>
      </w:r>
      <w:r w:rsidR="001D6860" w:rsidRPr="0001644B">
        <w:rPr>
          <w:rFonts w:ascii="Arial" w:hAnsi="Arial" w:cs="Arial"/>
          <w:b/>
          <w:sz w:val="20"/>
          <w:szCs w:val="20"/>
        </w:rPr>
        <w:t>A</w:t>
      </w:r>
      <w:r w:rsidR="001D6860">
        <w:rPr>
          <w:rFonts w:ascii="Arial" w:hAnsi="Arial" w:cs="Arial"/>
          <w:sz w:val="20"/>
          <w:szCs w:val="20"/>
        </w:rPr>
        <w:t xml:space="preserve">. </w:t>
      </w:r>
      <w:r w:rsidR="00937F3B">
        <w:rPr>
          <w:rFonts w:ascii="Arial" w:hAnsi="Arial" w:cs="Arial"/>
          <w:sz w:val="20"/>
          <w:szCs w:val="20"/>
        </w:rPr>
        <w:t>B</w:t>
      </w:r>
      <w:r w:rsidR="001D6860">
        <w:rPr>
          <w:rFonts w:ascii="Arial" w:hAnsi="Arial" w:cs="Arial"/>
          <w:sz w:val="20"/>
          <w:szCs w:val="20"/>
        </w:rPr>
        <w:t>ile acid compositions before (BL) and up to 8 weeks after RBX2660 treatment among treatment responders.</w:t>
      </w:r>
      <w:r w:rsidR="00937F3B">
        <w:rPr>
          <w:rFonts w:ascii="Arial" w:hAnsi="Arial" w:cs="Arial"/>
          <w:sz w:val="20"/>
          <w:szCs w:val="20"/>
        </w:rPr>
        <w:t xml:space="preserve"> Compositions are shown as the fraction of total bile acids classified as primary or secondary conjugated or deconjugated bile acids. </w:t>
      </w:r>
      <w:r w:rsidR="00937F3B" w:rsidRPr="0001644B">
        <w:rPr>
          <w:rFonts w:ascii="Arial" w:hAnsi="Arial" w:cs="Arial"/>
          <w:b/>
          <w:sz w:val="20"/>
          <w:szCs w:val="20"/>
        </w:rPr>
        <w:t>B</w:t>
      </w:r>
      <w:r w:rsidR="00937F3B">
        <w:rPr>
          <w:rFonts w:ascii="Arial" w:hAnsi="Arial" w:cs="Arial"/>
          <w:sz w:val="20"/>
          <w:szCs w:val="20"/>
        </w:rPr>
        <w:t xml:space="preserve">. </w:t>
      </w:r>
      <w:r w:rsidR="004E6349">
        <w:rPr>
          <w:rFonts w:ascii="Arial" w:hAnsi="Arial" w:cs="Arial"/>
          <w:sz w:val="20"/>
          <w:szCs w:val="20"/>
        </w:rPr>
        <w:t>Concentrations of lithocholic acid (LCA) and deoxycholic acid (DCA) among RBX2660 treatment responders, shown with individual sample</w:t>
      </w:r>
      <w:r w:rsidR="00A441C5">
        <w:rPr>
          <w:rFonts w:ascii="Arial" w:hAnsi="Arial" w:cs="Arial"/>
          <w:sz w:val="20"/>
          <w:szCs w:val="20"/>
        </w:rPr>
        <w:t xml:space="preserve">s and time point group median with interquartile ranges. </w:t>
      </w:r>
    </w:p>
    <w:p w14:paraId="5FE35891" w14:textId="2FC99C8D" w:rsidR="007E533D" w:rsidRDefault="007E533D" w:rsidP="00D734A6">
      <w:pPr>
        <w:spacing w:line="276" w:lineRule="auto"/>
        <w:rPr>
          <w:rFonts w:ascii="Arial" w:hAnsi="Arial" w:cs="Arial"/>
          <w:sz w:val="20"/>
          <w:szCs w:val="20"/>
        </w:rPr>
      </w:pPr>
    </w:p>
    <w:p w14:paraId="648799F3" w14:textId="1674F1DC" w:rsidR="007E533D" w:rsidRDefault="007E533D" w:rsidP="00D734A6">
      <w:pPr>
        <w:spacing w:line="276" w:lineRule="auto"/>
        <w:rPr>
          <w:rFonts w:ascii="Arial" w:hAnsi="Arial" w:cs="Arial"/>
          <w:sz w:val="20"/>
          <w:szCs w:val="20"/>
        </w:rPr>
      </w:pPr>
    </w:p>
    <w:p w14:paraId="43BC6AE9" w14:textId="6EC9311C" w:rsidR="00C8678F" w:rsidRDefault="00C8678F" w:rsidP="00D734A6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C8678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D31DF" w14:textId="77777777" w:rsidR="00922908" w:rsidRDefault="00922908" w:rsidP="006629F1">
      <w:pPr>
        <w:spacing w:after="0" w:line="240" w:lineRule="auto"/>
      </w:pPr>
      <w:r>
        <w:separator/>
      </w:r>
    </w:p>
  </w:endnote>
  <w:endnote w:type="continuationSeparator" w:id="0">
    <w:p w14:paraId="7BDBCC10" w14:textId="77777777" w:rsidR="00922908" w:rsidRDefault="00922908" w:rsidP="0066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3689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47A644" w14:textId="3C15B4EC" w:rsidR="004C3DCC" w:rsidRDefault="004C3D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1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C273D2" w14:textId="77777777" w:rsidR="004C3DCC" w:rsidRDefault="004C3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D7E10" w14:textId="77777777" w:rsidR="00922908" w:rsidRDefault="00922908" w:rsidP="006629F1">
      <w:pPr>
        <w:spacing w:after="0" w:line="240" w:lineRule="auto"/>
      </w:pPr>
      <w:r>
        <w:separator/>
      </w:r>
    </w:p>
  </w:footnote>
  <w:footnote w:type="continuationSeparator" w:id="0">
    <w:p w14:paraId="5EE15243" w14:textId="77777777" w:rsidR="00922908" w:rsidRDefault="00922908" w:rsidP="0066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71610"/>
    <w:multiLevelType w:val="hybridMultilevel"/>
    <w:tmpl w:val="54769BDC"/>
    <w:lvl w:ilvl="0" w:tplc="E40C2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4B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6F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0A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09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C89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24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EA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3C8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CD521E"/>
    <w:multiLevelType w:val="hybridMultilevel"/>
    <w:tmpl w:val="216E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5E44"/>
    <w:multiLevelType w:val="hybridMultilevel"/>
    <w:tmpl w:val="8F9A9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87C19"/>
    <w:multiLevelType w:val="multilevel"/>
    <w:tmpl w:val="2620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3C5FDF"/>
    <w:multiLevelType w:val="multilevel"/>
    <w:tmpl w:val="8128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0739AD"/>
    <w:multiLevelType w:val="hybridMultilevel"/>
    <w:tmpl w:val="BCC6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C1D41"/>
    <w:multiLevelType w:val="multilevel"/>
    <w:tmpl w:val="DF22DEB2"/>
    <w:lvl w:ilvl="0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D664CE"/>
    <w:multiLevelType w:val="hybridMultilevel"/>
    <w:tmpl w:val="054CB210"/>
    <w:lvl w:ilvl="0" w:tplc="B822A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27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727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86E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49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20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A1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42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0F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2DD5730"/>
    <w:multiLevelType w:val="multilevel"/>
    <w:tmpl w:val="446A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erpile-doc-id" w:val="T565H625D315A736"/>
    <w:docVar w:name="paperpile-doc-name" w:val="IDWeek2021_Papazyan_PUNCH CD3 bile acid restoration_FINAL.docx"/>
  </w:docVars>
  <w:rsids>
    <w:rsidRoot w:val="008A08E7"/>
    <w:rsid w:val="00004926"/>
    <w:rsid w:val="0001225C"/>
    <w:rsid w:val="0001644B"/>
    <w:rsid w:val="00024033"/>
    <w:rsid w:val="000255ED"/>
    <w:rsid w:val="000264AF"/>
    <w:rsid w:val="00056C3C"/>
    <w:rsid w:val="000608FE"/>
    <w:rsid w:val="000769D4"/>
    <w:rsid w:val="00082F8D"/>
    <w:rsid w:val="00094AFB"/>
    <w:rsid w:val="000A3D01"/>
    <w:rsid w:val="000A6989"/>
    <w:rsid w:val="000C0D2C"/>
    <w:rsid w:val="000C10A9"/>
    <w:rsid w:val="000C4256"/>
    <w:rsid w:val="000C4530"/>
    <w:rsid w:val="000C482A"/>
    <w:rsid w:val="000C5B04"/>
    <w:rsid w:val="000D2E37"/>
    <w:rsid w:val="000E14F5"/>
    <w:rsid w:val="000E1F9E"/>
    <w:rsid w:val="000E4375"/>
    <w:rsid w:val="000E43AC"/>
    <w:rsid w:val="000E4B3C"/>
    <w:rsid w:val="000F2C5D"/>
    <w:rsid w:val="000F54F8"/>
    <w:rsid w:val="000F5A8C"/>
    <w:rsid w:val="001073D0"/>
    <w:rsid w:val="001127DE"/>
    <w:rsid w:val="00113C50"/>
    <w:rsid w:val="00143777"/>
    <w:rsid w:val="00145D00"/>
    <w:rsid w:val="00171782"/>
    <w:rsid w:val="0018259E"/>
    <w:rsid w:val="00187175"/>
    <w:rsid w:val="00187ADF"/>
    <w:rsid w:val="001A3B90"/>
    <w:rsid w:val="001B1D9D"/>
    <w:rsid w:val="001B7BDE"/>
    <w:rsid w:val="001C7992"/>
    <w:rsid w:val="001D133C"/>
    <w:rsid w:val="001D65E6"/>
    <w:rsid w:val="001D6860"/>
    <w:rsid w:val="001E0D0F"/>
    <w:rsid w:val="001E76D4"/>
    <w:rsid w:val="001F1B8B"/>
    <w:rsid w:val="00204BF2"/>
    <w:rsid w:val="002053D6"/>
    <w:rsid w:val="0021554C"/>
    <w:rsid w:val="00227DDE"/>
    <w:rsid w:val="00233AB9"/>
    <w:rsid w:val="002342B3"/>
    <w:rsid w:val="00244762"/>
    <w:rsid w:val="00255BF2"/>
    <w:rsid w:val="002570BA"/>
    <w:rsid w:val="00262057"/>
    <w:rsid w:val="00272663"/>
    <w:rsid w:val="00276356"/>
    <w:rsid w:val="002823BC"/>
    <w:rsid w:val="00290958"/>
    <w:rsid w:val="002A6977"/>
    <w:rsid w:val="002B15FD"/>
    <w:rsid w:val="002B5CF9"/>
    <w:rsid w:val="002B628A"/>
    <w:rsid w:val="002D079D"/>
    <w:rsid w:val="002F5A93"/>
    <w:rsid w:val="003067ED"/>
    <w:rsid w:val="00313147"/>
    <w:rsid w:val="0031504D"/>
    <w:rsid w:val="003151A1"/>
    <w:rsid w:val="00321A5F"/>
    <w:rsid w:val="00330E7A"/>
    <w:rsid w:val="0033439B"/>
    <w:rsid w:val="00336339"/>
    <w:rsid w:val="0034459A"/>
    <w:rsid w:val="00352008"/>
    <w:rsid w:val="00354C4B"/>
    <w:rsid w:val="0036260E"/>
    <w:rsid w:val="003638B7"/>
    <w:rsid w:val="003674B7"/>
    <w:rsid w:val="00371A88"/>
    <w:rsid w:val="00384171"/>
    <w:rsid w:val="00387545"/>
    <w:rsid w:val="003879D4"/>
    <w:rsid w:val="003910C5"/>
    <w:rsid w:val="0039470E"/>
    <w:rsid w:val="003A4177"/>
    <w:rsid w:val="003B178D"/>
    <w:rsid w:val="003B1E2D"/>
    <w:rsid w:val="003B28E0"/>
    <w:rsid w:val="003B3B93"/>
    <w:rsid w:val="003B3CB5"/>
    <w:rsid w:val="003B4139"/>
    <w:rsid w:val="003B4C0E"/>
    <w:rsid w:val="003E221B"/>
    <w:rsid w:val="003E3C1C"/>
    <w:rsid w:val="003F2826"/>
    <w:rsid w:val="003F7F92"/>
    <w:rsid w:val="00401907"/>
    <w:rsid w:val="00417FC8"/>
    <w:rsid w:val="00436531"/>
    <w:rsid w:val="00440D58"/>
    <w:rsid w:val="00442F84"/>
    <w:rsid w:val="004477BF"/>
    <w:rsid w:val="00452D28"/>
    <w:rsid w:val="00455B9E"/>
    <w:rsid w:val="004673FD"/>
    <w:rsid w:val="0046742A"/>
    <w:rsid w:val="0047036E"/>
    <w:rsid w:val="00480E0E"/>
    <w:rsid w:val="004811A5"/>
    <w:rsid w:val="004822A6"/>
    <w:rsid w:val="004A22D4"/>
    <w:rsid w:val="004A4DFE"/>
    <w:rsid w:val="004A5D0B"/>
    <w:rsid w:val="004B04B1"/>
    <w:rsid w:val="004C3852"/>
    <w:rsid w:val="004C3DCC"/>
    <w:rsid w:val="004C5C47"/>
    <w:rsid w:val="004C6B91"/>
    <w:rsid w:val="004E072D"/>
    <w:rsid w:val="004E6349"/>
    <w:rsid w:val="004E66E4"/>
    <w:rsid w:val="004E7093"/>
    <w:rsid w:val="005054DF"/>
    <w:rsid w:val="005141CA"/>
    <w:rsid w:val="00523A20"/>
    <w:rsid w:val="00527B7C"/>
    <w:rsid w:val="00530240"/>
    <w:rsid w:val="00537AFA"/>
    <w:rsid w:val="0054295F"/>
    <w:rsid w:val="00550277"/>
    <w:rsid w:val="00565041"/>
    <w:rsid w:val="00582F4A"/>
    <w:rsid w:val="00590890"/>
    <w:rsid w:val="005A0CDE"/>
    <w:rsid w:val="005A5343"/>
    <w:rsid w:val="005C661F"/>
    <w:rsid w:val="005D2C83"/>
    <w:rsid w:val="005E158D"/>
    <w:rsid w:val="005E73C5"/>
    <w:rsid w:val="005E7C75"/>
    <w:rsid w:val="00601766"/>
    <w:rsid w:val="006020E2"/>
    <w:rsid w:val="00604181"/>
    <w:rsid w:val="00604D5B"/>
    <w:rsid w:val="00606431"/>
    <w:rsid w:val="006121AD"/>
    <w:rsid w:val="00612236"/>
    <w:rsid w:val="006244EA"/>
    <w:rsid w:val="00625F53"/>
    <w:rsid w:val="00651AE3"/>
    <w:rsid w:val="0065764C"/>
    <w:rsid w:val="00660CE3"/>
    <w:rsid w:val="006629F1"/>
    <w:rsid w:val="006741F6"/>
    <w:rsid w:val="00684D99"/>
    <w:rsid w:val="00690E2D"/>
    <w:rsid w:val="00695E75"/>
    <w:rsid w:val="006A14CB"/>
    <w:rsid w:val="006B54DB"/>
    <w:rsid w:val="006C1012"/>
    <w:rsid w:val="006C103E"/>
    <w:rsid w:val="006C5F5D"/>
    <w:rsid w:val="006D0D7C"/>
    <w:rsid w:val="006D1A59"/>
    <w:rsid w:val="006D6059"/>
    <w:rsid w:val="006D65BC"/>
    <w:rsid w:val="006E479F"/>
    <w:rsid w:val="00702A1A"/>
    <w:rsid w:val="007038C8"/>
    <w:rsid w:val="00726438"/>
    <w:rsid w:val="00726CDB"/>
    <w:rsid w:val="007467E7"/>
    <w:rsid w:val="00757D68"/>
    <w:rsid w:val="007638F6"/>
    <w:rsid w:val="00764D49"/>
    <w:rsid w:val="00783731"/>
    <w:rsid w:val="00783F33"/>
    <w:rsid w:val="007944D3"/>
    <w:rsid w:val="0079489F"/>
    <w:rsid w:val="0079518F"/>
    <w:rsid w:val="0079592D"/>
    <w:rsid w:val="007B1021"/>
    <w:rsid w:val="007B29D1"/>
    <w:rsid w:val="007B7ECE"/>
    <w:rsid w:val="007C1447"/>
    <w:rsid w:val="007D2F51"/>
    <w:rsid w:val="007D3F2B"/>
    <w:rsid w:val="007E122A"/>
    <w:rsid w:val="007E533D"/>
    <w:rsid w:val="007E60AA"/>
    <w:rsid w:val="00802668"/>
    <w:rsid w:val="00803503"/>
    <w:rsid w:val="008052F5"/>
    <w:rsid w:val="008104B1"/>
    <w:rsid w:val="00816ADE"/>
    <w:rsid w:val="00817DCF"/>
    <w:rsid w:val="0082115D"/>
    <w:rsid w:val="008264DF"/>
    <w:rsid w:val="00831FDA"/>
    <w:rsid w:val="00833753"/>
    <w:rsid w:val="008408E7"/>
    <w:rsid w:val="00851F77"/>
    <w:rsid w:val="00871999"/>
    <w:rsid w:val="00892004"/>
    <w:rsid w:val="008A08E7"/>
    <w:rsid w:val="008A552B"/>
    <w:rsid w:val="008B51EC"/>
    <w:rsid w:val="008C552A"/>
    <w:rsid w:val="008D0D52"/>
    <w:rsid w:val="008E4D5B"/>
    <w:rsid w:val="008E57D9"/>
    <w:rsid w:val="008E5861"/>
    <w:rsid w:val="008F2A8E"/>
    <w:rsid w:val="00901903"/>
    <w:rsid w:val="00901B83"/>
    <w:rsid w:val="00901CDA"/>
    <w:rsid w:val="00910D43"/>
    <w:rsid w:val="009125CD"/>
    <w:rsid w:val="00920343"/>
    <w:rsid w:val="00922908"/>
    <w:rsid w:val="00934BB8"/>
    <w:rsid w:val="00937F3B"/>
    <w:rsid w:val="00941F59"/>
    <w:rsid w:val="00942275"/>
    <w:rsid w:val="009440E1"/>
    <w:rsid w:val="009501DE"/>
    <w:rsid w:val="00953716"/>
    <w:rsid w:val="00955C0B"/>
    <w:rsid w:val="00957C16"/>
    <w:rsid w:val="009608B7"/>
    <w:rsid w:val="00965C18"/>
    <w:rsid w:val="009773C9"/>
    <w:rsid w:val="009908C6"/>
    <w:rsid w:val="00995CE5"/>
    <w:rsid w:val="009966B0"/>
    <w:rsid w:val="009D111C"/>
    <w:rsid w:val="009D59AA"/>
    <w:rsid w:val="009E4460"/>
    <w:rsid w:val="00A14CD9"/>
    <w:rsid w:val="00A2560B"/>
    <w:rsid w:val="00A26D91"/>
    <w:rsid w:val="00A276D8"/>
    <w:rsid w:val="00A33E40"/>
    <w:rsid w:val="00A441C5"/>
    <w:rsid w:val="00A52147"/>
    <w:rsid w:val="00A663A5"/>
    <w:rsid w:val="00A8022D"/>
    <w:rsid w:val="00A8331E"/>
    <w:rsid w:val="00A91940"/>
    <w:rsid w:val="00AA2395"/>
    <w:rsid w:val="00AA506C"/>
    <w:rsid w:val="00AD2399"/>
    <w:rsid w:val="00AD300A"/>
    <w:rsid w:val="00AD6E80"/>
    <w:rsid w:val="00AD7645"/>
    <w:rsid w:val="00AF19D1"/>
    <w:rsid w:val="00AF78DB"/>
    <w:rsid w:val="00B15718"/>
    <w:rsid w:val="00B268D3"/>
    <w:rsid w:val="00B275ED"/>
    <w:rsid w:val="00B3552D"/>
    <w:rsid w:val="00B602D4"/>
    <w:rsid w:val="00B62538"/>
    <w:rsid w:val="00B67153"/>
    <w:rsid w:val="00B71059"/>
    <w:rsid w:val="00B7283B"/>
    <w:rsid w:val="00B814EB"/>
    <w:rsid w:val="00B84C1A"/>
    <w:rsid w:val="00B9475E"/>
    <w:rsid w:val="00B97734"/>
    <w:rsid w:val="00BA0A0F"/>
    <w:rsid w:val="00BA0D27"/>
    <w:rsid w:val="00BA0D74"/>
    <w:rsid w:val="00BA707F"/>
    <w:rsid w:val="00BB0D52"/>
    <w:rsid w:val="00BB68ED"/>
    <w:rsid w:val="00BB7F0A"/>
    <w:rsid w:val="00BC6C71"/>
    <w:rsid w:val="00BD09D8"/>
    <w:rsid w:val="00BE6448"/>
    <w:rsid w:val="00C1004F"/>
    <w:rsid w:val="00C119D6"/>
    <w:rsid w:val="00C14713"/>
    <w:rsid w:val="00C17354"/>
    <w:rsid w:val="00C17B42"/>
    <w:rsid w:val="00C25119"/>
    <w:rsid w:val="00C33AFD"/>
    <w:rsid w:val="00C366FB"/>
    <w:rsid w:val="00C467C4"/>
    <w:rsid w:val="00C503A8"/>
    <w:rsid w:val="00C5517F"/>
    <w:rsid w:val="00C55461"/>
    <w:rsid w:val="00C75407"/>
    <w:rsid w:val="00C8678F"/>
    <w:rsid w:val="00C87788"/>
    <w:rsid w:val="00C95461"/>
    <w:rsid w:val="00CA6BDB"/>
    <w:rsid w:val="00CB13A9"/>
    <w:rsid w:val="00CB1874"/>
    <w:rsid w:val="00CB2F21"/>
    <w:rsid w:val="00CB4F74"/>
    <w:rsid w:val="00CC01F0"/>
    <w:rsid w:val="00CD2E69"/>
    <w:rsid w:val="00CD5A4E"/>
    <w:rsid w:val="00CE0C05"/>
    <w:rsid w:val="00CE7768"/>
    <w:rsid w:val="00CF2B87"/>
    <w:rsid w:val="00D25D83"/>
    <w:rsid w:val="00D33C49"/>
    <w:rsid w:val="00D35640"/>
    <w:rsid w:val="00D37475"/>
    <w:rsid w:val="00D46CA7"/>
    <w:rsid w:val="00D53F94"/>
    <w:rsid w:val="00D57917"/>
    <w:rsid w:val="00D67307"/>
    <w:rsid w:val="00D67814"/>
    <w:rsid w:val="00D734A6"/>
    <w:rsid w:val="00D775B1"/>
    <w:rsid w:val="00D856BE"/>
    <w:rsid w:val="00D85850"/>
    <w:rsid w:val="00D90F1B"/>
    <w:rsid w:val="00DA2C95"/>
    <w:rsid w:val="00DA2F8C"/>
    <w:rsid w:val="00DA7ED7"/>
    <w:rsid w:val="00DB1049"/>
    <w:rsid w:val="00DB2FEB"/>
    <w:rsid w:val="00DB4D65"/>
    <w:rsid w:val="00DB5838"/>
    <w:rsid w:val="00DF0906"/>
    <w:rsid w:val="00DF099C"/>
    <w:rsid w:val="00E00378"/>
    <w:rsid w:val="00E03439"/>
    <w:rsid w:val="00E05DD1"/>
    <w:rsid w:val="00E104D7"/>
    <w:rsid w:val="00E15459"/>
    <w:rsid w:val="00E16BED"/>
    <w:rsid w:val="00E217EE"/>
    <w:rsid w:val="00E26D44"/>
    <w:rsid w:val="00E27387"/>
    <w:rsid w:val="00E27F4D"/>
    <w:rsid w:val="00E30337"/>
    <w:rsid w:val="00E329B2"/>
    <w:rsid w:val="00E42DBD"/>
    <w:rsid w:val="00E4602C"/>
    <w:rsid w:val="00E5225F"/>
    <w:rsid w:val="00E52B9E"/>
    <w:rsid w:val="00E56F73"/>
    <w:rsid w:val="00E61379"/>
    <w:rsid w:val="00E8656A"/>
    <w:rsid w:val="00E95309"/>
    <w:rsid w:val="00EA0A7B"/>
    <w:rsid w:val="00EA3527"/>
    <w:rsid w:val="00EA72F8"/>
    <w:rsid w:val="00EC2DE6"/>
    <w:rsid w:val="00EC5706"/>
    <w:rsid w:val="00ED494D"/>
    <w:rsid w:val="00EE0BAD"/>
    <w:rsid w:val="00EE5209"/>
    <w:rsid w:val="00EE7076"/>
    <w:rsid w:val="00EF1695"/>
    <w:rsid w:val="00F1696C"/>
    <w:rsid w:val="00F24FB6"/>
    <w:rsid w:val="00F27CC2"/>
    <w:rsid w:val="00F3345B"/>
    <w:rsid w:val="00F4321F"/>
    <w:rsid w:val="00F47D4A"/>
    <w:rsid w:val="00F51EB6"/>
    <w:rsid w:val="00F6322A"/>
    <w:rsid w:val="00F720D2"/>
    <w:rsid w:val="00F76849"/>
    <w:rsid w:val="00F76C4F"/>
    <w:rsid w:val="00FA3422"/>
    <w:rsid w:val="00FA6A4C"/>
    <w:rsid w:val="00FB500C"/>
    <w:rsid w:val="00FC7544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0D6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E7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17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73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73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3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3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9F1"/>
  </w:style>
  <w:style w:type="paragraph" w:styleId="Footer">
    <w:name w:val="footer"/>
    <w:basedOn w:val="Normal"/>
    <w:link w:val="FooterChar"/>
    <w:uiPriority w:val="99"/>
    <w:unhideWhenUsed/>
    <w:rsid w:val="0066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9F1"/>
  </w:style>
  <w:style w:type="table" w:styleId="TableGrid">
    <w:name w:val="Table Grid"/>
    <w:basedOn w:val="TableNormal"/>
    <w:uiPriority w:val="39"/>
    <w:rsid w:val="000C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E70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387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EE707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DA2F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7E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17B4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0D2E37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764D49"/>
    <w:rPr>
      <w:b/>
      <w:bCs/>
    </w:rPr>
  </w:style>
  <w:style w:type="character" w:customStyle="1" w:styleId="s5">
    <w:name w:val="s5"/>
    <w:basedOn w:val="DefaultParagraphFont"/>
    <w:rsid w:val="008C552A"/>
  </w:style>
  <w:style w:type="character" w:customStyle="1" w:styleId="apple-converted-space">
    <w:name w:val="apple-converted-space"/>
    <w:basedOn w:val="DefaultParagraphFont"/>
    <w:rsid w:val="008C552A"/>
  </w:style>
  <w:style w:type="character" w:customStyle="1" w:styleId="xstyle4b">
    <w:name w:val="x_style4b"/>
    <w:basedOn w:val="DefaultParagraphFont"/>
    <w:rsid w:val="00A26D91"/>
  </w:style>
  <w:style w:type="character" w:customStyle="1" w:styleId="xstyle02">
    <w:name w:val="x_style02"/>
    <w:basedOn w:val="DefaultParagraphFont"/>
    <w:rsid w:val="00A26D91"/>
  </w:style>
  <w:style w:type="character" w:styleId="Emphasis">
    <w:name w:val="Emphasis"/>
    <w:basedOn w:val="DefaultParagraphFont"/>
    <w:uiPriority w:val="20"/>
    <w:qFormat/>
    <w:rsid w:val="00A26D91"/>
    <w:rPr>
      <w:i/>
      <w:iCs/>
    </w:rPr>
  </w:style>
  <w:style w:type="paragraph" w:customStyle="1" w:styleId="xdefault">
    <w:name w:val="x_default"/>
    <w:basedOn w:val="Normal"/>
    <w:rsid w:val="00A2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-1561638609633490968msolistparagraph">
    <w:name w:val="m_-1561638609633490968msolistparagraph"/>
    <w:basedOn w:val="Normal"/>
    <w:rsid w:val="0052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2382">
          <w:marLeft w:val="662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686">
          <w:marLeft w:val="662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2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8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49044">
          <w:marLeft w:val="662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7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6544">
          <w:marLeft w:val="662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idweek.zendesk.com/hc/en-us/articles/1500002253822-Session-and-Abstract-Subject-Categor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D1170E779E741A552CD3DBB0AD206" ma:contentTypeVersion="15" ma:contentTypeDescription="Create a new document." ma:contentTypeScope="" ma:versionID="f9e920eae78bcb88ccea2aff2baa9cf8">
  <xsd:schema xmlns:xsd="http://www.w3.org/2001/XMLSchema" xmlns:xs="http://www.w3.org/2001/XMLSchema" xmlns:p="http://schemas.microsoft.com/office/2006/metadata/properties" xmlns:ns1="http://schemas.microsoft.com/sharepoint/v3" xmlns:ns3="5bae7d12-13eb-4134-a1d8-2ddc8d2534e1" xmlns:ns4="0607c165-4834-4b2f-b2fc-8fc42bd4e799" targetNamespace="http://schemas.microsoft.com/office/2006/metadata/properties" ma:root="true" ma:fieldsID="217f3f667aa2abdf63f8e6000b5c0461" ns1:_="" ns3:_="" ns4:_="">
    <xsd:import namespace="http://schemas.microsoft.com/sharepoint/v3"/>
    <xsd:import namespace="5bae7d12-13eb-4134-a1d8-2ddc8d2534e1"/>
    <xsd:import namespace="0607c165-4834-4b2f-b2fc-8fc42bd4e79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e7d12-13eb-4134-a1d8-2ddc8d253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7c165-4834-4b2f-b2fc-8fc42bd4e79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989F0D-EBB2-4155-A38E-014C94D284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A2CB9C-DCBD-4CBE-B229-DDCC81C19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ae7d12-13eb-4134-a1d8-2ddc8d2534e1"/>
    <ds:schemaRef ds:uri="0607c165-4834-4b2f-b2fc-8fc42bd4e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CB65BF-3302-4A0C-8504-807BEFC4DA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Harriet</dc:creator>
  <cp:lastModifiedBy>Amy Moore</cp:lastModifiedBy>
  <cp:revision>3</cp:revision>
  <cp:lastPrinted>2017-05-11T13:55:00Z</cp:lastPrinted>
  <dcterms:created xsi:type="dcterms:W3CDTF">2021-06-09T20:09:00Z</dcterms:created>
  <dcterms:modified xsi:type="dcterms:W3CDTF">2021-06-09T20:57:00Z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0x01010054ED1170E779E741A552CD3DBB0AD206</vt:lpwstr>
  </property>
</Properties>
</file>